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9.png" ContentType="image/png"/>
  <Override PartName="/word/media/image8.png" ContentType="image/png"/>
  <Override PartName="/word/media/image7.jpeg" ContentType="image/jpeg"/>
  <Override PartName="/word/media/image6.jpeg" ContentType="image/jpeg"/>
  <Override PartName="/word/media/image5.png" ContentType="image/png"/>
  <Override PartName="/word/media/image4.jpeg" ContentType="image/jpeg"/>
  <Override PartName="/word/media/image3.jpeg" ContentType="image/jpe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47">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43"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31                                                                                                                                      junio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31                                                                                                                                      junio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rPr>
      </w:pPr>
      <w:r>
        <w:rPr>
          <w:rFonts w:ascii="Calibri Light" w:hAnsi="Calibri Light" w:asciiTheme="majorHAnsi" w:hAnsiTheme="majorHAnsi"/>
          <w:b/>
          <w:sz w:val="24"/>
          <w:szCs w:val="24"/>
        </w:rPr>
        <w:t>Contenidos de este número</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ListParagraph"/>
        <w:numPr>
          <w:ilvl w:val="0"/>
          <w:numId w:val="1"/>
        </w:numPr>
        <w:spacing w:lineRule="atLeast" w:line="480"/>
        <w:rPr>
          <w:sz w:val="24"/>
          <w:spacing w:val="2"/>
          <w:b/>
          <w:sz w:val="24"/>
          <w:b/>
          <w:szCs w:val="24"/>
          <w:rFonts w:ascii="Calibri Light" w:hAnsi="Calibri Light" w:eastAsia="Times New Roman" w:cs="Arial" w:asciiTheme="majorHAnsi" w:hAnsiTheme="majorHAnsi"/>
          <w:color w:val="14171A"/>
          <w:lang w:val="en" w:eastAsia="es-MX"/>
        </w:rPr>
      </w:pPr>
      <w:r>
        <w:rPr>
          <w:rFonts w:eastAsia="Times New Roman" w:cs="Arial" w:ascii="Calibri Light" w:hAnsi="Calibri Light" w:asciiTheme="majorHAnsi" w:hAnsiTheme="majorHAnsi"/>
          <w:b/>
          <w:color w:val="14171A"/>
          <w:spacing w:val="2"/>
          <w:sz w:val="24"/>
          <w:szCs w:val="24"/>
          <w:lang w:val="en" w:eastAsia="es-MX"/>
        </w:rPr>
        <w:t xml:space="preserve">Strengthening the Voice for Sustainability: How academic librarians can share resources with stakeholders </w:t>
      </w:r>
      <w:hyperlink r:id="rId3">
        <w:r>
          <w:rPr>
            <w:rStyle w:val="EnlacedeInternet"/>
            <w:rFonts w:eastAsia="Times New Roman" w:cs="Arial" w:ascii="Calibri Light" w:hAnsi="Calibri Light" w:asciiTheme="majorHAnsi" w:hAnsiTheme="majorHAnsi"/>
            <w:b/>
            <w:color w:val="131516"/>
            <w:spacing w:val="2"/>
            <w:sz w:val="24"/>
            <w:szCs w:val="24"/>
            <w:lang w:val="en" w:eastAsia="es-MX"/>
          </w:rPr>
          <w:t>http://bit.ly/2snmldh </w:t>
        </w:r>
      </w:hyperlink>
      <w:r/>
    </w:p>
    <w:p>
      <w:pPr>
        <w:pStyle w:val="Normal"/>
        <w:jc w:val="center"/>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jc w:val="center"/>
        <w:rPr>
          <w:sz w:val="24"/>
          <w:b/>
          <w:sz w:val="24"/>
          <w:b/>
          <w:szCs w:val="24"/>
          <w:rFonts w:ascii="Calibri Light" w:hAnsi="Calibri Light" w:asciiTheme="majorHAnsi" w:hAnsiTheme="majorHAnsi"/>
          <w:lang w:val="en-US"/>
        </w:rPr>
      </w:pPr>
      <w:r>
        <w:rPr/>
        <w:drawing>
          <wp:inline distT="0" distB="0" distL="0" distR="0">
            <wp:extent cx="5612130" cy="3741420"/>
            <wp:effectExtent l="0" t="0" r="0" b="0"/>
            <wp:docPr id="3" name="Picture" descr="https://pbs.twimg.com/media/DBLDuYHXcAEXv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s://pbs.twimg.com/media/DBLDuYHXcAEXvgg.jpg"/>
                    <pic:cNvPicPr>
                      <a:picLocks noChangeAspect="1" noChangeArrowheads="1"/>
                    </pic:cNvPicPr>
                  </pic:nvPicPr>
                  <pic:blipFill>
                    <a:blip r:embed="rId4"/>
                    <a:stretch>
                      <a:fillRect/>
                    </a:stretch>
                  </pic:blipFill>
                  <pic:spPr bwMode="auto">
                    <a:xfrm>
                      <a:off x="0" y="0"/>
                      <a:ext cx="5612130" cy="3741420"/>
                    </a:xfrm>
                    <a:prstGeom prst="rect">
                      <a:avLst/>
                    </a:prstGeom>
                    <a:noFill/>
                    <a:ln w="9525">
                      <a:noFill/>
                      <a:miter lim="800000"/>
                      <a:headEnd/>
                      <a:tailEnd/>
                    </a:ln>
                  </pic:spPr>
                </pic:pic>
              </a:graphicData>
            </a:graphic>
          </wp:inline>
        </w:drawing>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ListParagraph"/>
        <w:numPr>
          <w:ilvl w:val="0"/>
          <w:numId w:val="1"/>
        </w:numPr>
        <w:shd w:val="clear" w:color="auto" w:themeColor="" w:themeTint="" w:themeShade="" w:fill="FFFFFF" w:themeFill="" w:themeFillTint="" w:themeFillShade=""/>
        <w:textAlignment w:val="center"/>
        <w:rPr>
          <w:sz w:val="24"/>
          <w:b/>
          <w:sz w:val="24"/>
          <w:b/>
          <w:szCs w:val="24"/>
          <w:rFonts w:ascii="Calibri Light" w:hAnsi="Calibri Light" w:cs="Segoe UI" w:asciiTheme="majorHAnsi" w:hAnsiTheme="majorHAnsi"/>
          <w:color w:val="333333"/>
        </w:rPr>
      </w:pPr>
      <w:r>
        <w:rPr>
          <w:rStyle w:val="Bidi"/>
          <w:rFonts w:cs="Segoe UI" w:ascii="Calibri Light" w:hAnsi="Calibri Light" w:asciiTheme="majorHAnsi" w:hAnsiTheme="majorHAnsi"/>
          <w:b/>
          <w:color w:val="333333"/>
          <w:sz w:val="24"/>
          <w:szCs w:val="24"/>
        </w:rPr>
        <w:t>Boletin Fundación Ciencias de la Documentación</w:t>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212121"/>
        </w:rPr>
      </w:pPr>
      <w:r>
        <w:rPr>
          <w:rFonts w:cs="Segoe UI" w:ascii="Calibri Light" w:hAnsi="Calibri Light" w:asciiTheme="majorHAnsi" w:hAnsiTheme="majorHAnsi"/>
          <w:color w:val="212121"/>
          <w:sz w:val="24"/>
          <w:szCs w:val="24"/>
        </w:rPr>
        <w:br/>
        <w:t>TESTIMONIALES MUJERES LIDERES AMERICA</w:t>
        <w:br/>
      </w:r>
      <w:hyperlink r:id="rId5">
        <w:r>
          <w:rPr>
            <w:rStyle w:val="EnlacedeInternet"/>
            <w:rFonts w:cs="Segoe UI" w:ascii="Calibri Light" w:hAnsi="Calibri Light" w:asciiTheme="majorHAnsi" w:hAnsiTheme="majorHAnsi"/>
            <w:sz w:val="24"/>
            <w:szCs w:val="24"/>
          </w:rPr>
          <w:t>http://documentalistas.com/cursos/mujereslideres/</w:t>
        </w:r>
      </w:hyperlink>
      <w:r>
        <w:rPr>
          <w:rFonts w:cs="Segoe UI" w:ascii="Calibri Light" w:hAnsi="Calibri Light" w:asciiTheme="majorHAnsi" w:hAnsiTheme="majorHAnsi"/>
          <w:color w:val="212121"/>
          <w:sz w:val="24"/>
          <w:szCs w:val="24"/>
        </w:rPr>
        <w:br/>
        <w:br/>
        <w:t>En colaboración con miembros del Comité #MujeresLideresAmerica estamos organizando para primeros de Julio un Mooc colaborativo donde mujeres líderes en sus sectores compartirán testimoniales que sirvan de inspiración a niñas y mujeres de las Américas en su camino hacia el empoderamiento y la equidad de género. La matrícula está ya abierta, y es gratuita. Sin duda será una de nuestras actividades más importantes para este año 2017.</w:t>
        <w:br/>
        <w:br/>
        <w:br/>
        <w:t>TECNOPOLITICA. DISEÑANDO NUEVAS FORMAS DE PARTICIPACION POLITICA</w:t>
        <w:br/>
      </w:r>
      <w:hyperlink r:id="rId6">
        <w:r>
          <w:rPr>
            <w:rStyle w:val="EnlacedeInternet"/>
            <w:rFonts w:cs="Segoe UI" w:ascii="Calibri Light" w:hAnsi="Calibri Light" w:asciiTheme="majorHAnsi" w:hAnsiTheme="majorHAnsi"/>
            <w:sz w:val="24"/>
            <w:szCs w:val="24"/>
          </w:rPr>
          <w:t>http://documentalistas.com/cursos/tecnopolitica/</w:t>
        </w:r>
      </w:hyperlink>
      <w:r>
        <w:rPr>
          <w:rFonts w:cs="Segoe UI" w:ascii="Calibri Light" w:hAnsi="Calibri Light" w:asciiTheme="majorHAnsi" w:hAnsiTheme="majorHAnsi"/>
          <w:color w:val="212121"/>
          <w:sz w:val="24"/>
          <w:szCs w:val="24"/>
        </w:rPr>
        <w:br/>
        <w:br/>
        <w:t>Siguiendo con el modelo de los mooc colaborativos gratuitos, informamos que a primeros de Octubre distintos expertos de España e Iberoamérica coordinarán varios módulos sobre Tecnopolítica en un curso online incluido dentro de las actividades del MOU firmado entre la Fundación Ciencias de la Documentación y la Organización de Estados Iberoamericanos (OEA), a través de su Sección de Apoyo a las Instituciones Representativas (SAIR).</w:t>
        <w:br/>
        <w:br/>
        <w:br/>
        <w:t>LUNES 5/JUNIO INICIAMOS CURSO GENERO Y DERECHOS HUMANOS</w:t>
        <w:br/>
      </w:r>
      <w:hyperlink r:id="rId7">
        <w:r>
          <w:rPr>
            <w:rStyle w:val="EnlacedeInternet"/>
            <w:rFonts w:cs="Segoe UI" w:ascii="Calibri Light" w:hAnsi="Calibri Light" w:asciiTheme="majorHAnsi" w:hAnsiTheme="majorHAnsi"/>
            <w:sz w:val="24"/>
            <w:szCs w:val="24"/>
          </w:rPr>
          <w:t>http://documentalistas.com/cursos/ddhh-mujeres/</w:t>
        </w:r>
      </w:hyperlink>
      <w:r>
        <w:rPr>
          <w:rFonts w:cs="Segoe UI" w:ascii="Calibri Light" w:hAnsi="Calibri Light" w:asciiTheme="majorHAnsi" w:hAnsiTheme="majorHAnsi"/>
          <w:color w:val="212121"/>
          <w:sz w:val="24"/>
          <w:szCs w:val="24"/>
        </w:rPr>
        <w:br/>
        <w:br/>
        <w:t>Dando continuidad a las actividades docentes iniciadas en el exitoso curso sobre Redes Sociales y Mujer, el lunes 5/Junio dará inicio este nuevo curso Mooc abierto y gratuito donde sus participantes analizarán cómo la igualdad de género está en el centro mismo de los derechos humanos y los valores de las Naciones Unidas.</w:t>
        <w:br/>
        <w:br/>
        <w:br/>
        <w:t>AUSPICIAMOS XI CUMBRE MUNDIAL DE COMUNICACION POLITICA</w:t>
        <w:br/>
      </w:r>
      <w:hyperlink r:id="rId8">
        <w:r>
          <w:rPr>
            <w:rStyle w:val="EnlacedeInternet"/>
            <w:rFonts w:cs="Segoe UI" w:ascii="Calibri Light" w:hAnsi="Calibri Light" w:asciiTheme="majorHAnsi" w:hAnsiTheme="majorHAnsi"/>
            <w:sz w:val="24"/>
            <w:szCs w:val="24"/>
          </w:rPr>
          <w:t>https://documentalistas.org/campus/mod/forum/discuss.php?d=147</w:t>
        </w:r>
      </w:hyperlink>
      <w:r>
        <w:rPr>
          <w:rFonts w:cs="Segoe UI" w:ascii="Calibri Light" w:hAnsi="Calibri Light" w:asciiTheme="majorHAnsi" w:hAnsiTheme="majorHAnsi"/>
          <w:color w:val="212121"/>
          <w:sz w:val="24"/>
          <w:szCs w:val="24"/>
        </w:rPr>
        <w:br/>
        <w:br/>
        <w:t>Los días 7, 8 y 9 de Junio estaremos en Cartagena de Indias, Colombia, auspiciando La Cumbre Mundial de Comunicación Política. Un evento que genera un espacio de interacción por excelencia de las mejores prácticas de comunicación y marketing político, implicando pluralidad de voces, multiplicidad de ideas e ideologías políticas. 250 conferencistas, más de 2.000 asistentes y 25 países participantes, con objeto de abordar los principales ámbitos de estudio, reflexión y debate en torno a la comunicación.</w:t>
        <w:br/>
        <w:br/>
        <w:br/>
        <w:t>BECAS CERTIFICACION EN BIG DATA DOCUMENTAL</w:t>
        <w:br/>
      </w:r>
      <w:hyperlink r:id="rId9">
        <w:r>
          <w:rPr>
            <w:rStyle w:val="EnlacedeInternet"/>
            <w:rFonts w:cs="Segoe UI" w:ascii="Calibri Light" w:hAnsi="Calibri Light" w:asciiTheme="majorHAnsi" w:hAnsiTheme="majorHAnsi"/>
            <w:sz w:val="24"/>
            <w:szCs w:val="24"/>
          </w:rPr>
          <w:t>http://documentalistas.com/cursos/bigdata-documental/</w:t>
        </w:r>
      </w:hyperlink>
      <w:r>
        <w:rPr>
          <w:rFonts w:cs="Segoe UI" w:ascii="Calibri Light" w:hAnsi="Calibri Light" w:asciiTheme="majorHAnsi" w:hAnsiTheme="majorHAnsi"/>
          <w:color w:val="212121"/>
          <w:sz w:val="24"/>
          <w:szCs w:val="24"/>
        </w:rPr>
        <w:br/>
        <w:br/>
        <w:t>Hasta el 15 de Septiembre hay plazo para solicitar una de las becas ofertadas para realizar el examen de certificación profesional en Big Data Documental que, en su segunda edición, la Fundación CD oferta a profesionales de la información y documentación de España e Iberoamérica.</w:t>
      </w:r>
      <w:r>
        <w:br w:type="page"/>
      </w:r>
      <w:r/>
    </w:p>
    <w:p>
      <w:pPr>
        <w:pStyle w:val="ListParagraph"/>
        <w:numPr>
          <w:ilvl w:val="0"/>
          <w:numId w:val="1"/>
        </w:numPr>
        <w:shd w:val="clear" w:color="auto" w:themeColor="" w:themeTint="" w:themeShade="" w:fill="FFFFFF" w:themeFill="" w:themeFillTint="" w:themeFillShade=""/>
        <w:rPr>
          <w:sz w:val="24"/>
          <w:sz w:val="24"/>
          <w:szCs w:val="24"/>
          <w:rFonts w:ascii="Calibri Light" w:hAnsi="Calibri Light" w:cs="Segoe UI" w:asciiTheme="majorHAnsi" w:hAnsiTheme="majorHAnsi"/>
          <w:color w:val="333333"/>
        </w:rPr>
      </w:pPr>
      <w:r>
        <w:rPr>
          <w:rStyle w:val="Rphighlightallclass"/>
          <w:rFonts w:cs="Segoe UI" w:ascii="Calibri Light" w:hAnsi="Calibri Light" w:asciiTheme="majorHAnsi" w:hAnsiTheme="majorHAnsi"/>
          <w:color w:val="333333"/>
          <w:sz w:val="24"/>
          <w:szCs w:val="24"/>
        </w:rPr>
        <w:t>La emblemática revista "La Biblioteca" inaugura su cuarta época, en formato digital.</w:t>
      </w:r>
      <w:r/>
    </w:p>
    <w:p>
      <w:pPr>
        <w:pStyle w:val="NormalWeb"/>
        <w:shd w:val="clear" w:color="auto" w:themeColor="" w:themeTint="" w:themeShade="" w:fill="FFFFFF" w:themeFill="" w:themeFillTint="" w:themeFillShade=""/>
        <w:spacing w:beforeAutospacing="0" w:before="0" w:afterAutospacing="0" w:after="0"/>
        <w:jc w:val="center"/>
        <w:rPr>
          <w:sz w:val="24"/>
          <w:b/>
          <w:sz w:val="24"/>
          <w:b/>
          <w:szCs w:val="24"/>
          <w:bCs/>
          <w:rFonts w:ascii="Calibri Light" w:hAnsi="Calibri Light" w:eastAsia="Times New Roman" w:cs="Arial" w:asciiTheme="majorHAnsi" w:hAnsiTheme="majorHAnsi"/>
          <w:color w:val="000000"/>
          <w:lang w:eastAsia="es-MX"/>
        </w:rPr>
      </w:pPr>
      <w:r>
        <w:rPr>
          <w:rFonts w:cs="Arial" w:ascii="Calibri Light" w:hAnsi="Calibri Light"/>
          <w:b/>
          <w:bCs/>
          <w:color w:val="000000"/>
        </w:rPr>
      </w:r>
      <w:r/>
    </w:p>
    <w:p>
      <w:pPr>
        <w:pStyle w:val="NormalWeb"/>
        <w:shd w:val="clear" w:color="auto" w:themeColor="" w:themeTint="" w:themeShade="" w:fill="FFFFFF" w:themeFill="" w:themeFillTint="" w:themeFillShade=""/>
        <w:spacing w:beforeAutospacing="0" w:before="0" w:afterAutospacing="0" w:after="0"/>
        <w:jc w:val="center"/>
        <w:rPr>
          <w:b/>
          <w:b/>
          <w:bCs/>
          <w:rFonts w:ascii="Calibri Light" w:hAnsi="Calibri Light" w:cs="Arial" w:asciiTheme="majorHAnsi" w:hAnsiTheme="majorHAnsi"/>
          <w:color w:val="000000"/>
        </w:rPr>
      </w:pPr>
      <w:r>
        <w:rPr>
          <w:rFonts w:cs="Arial" w:ascii="Calibri Light" w:hAnsi="Calibri Light" w:asciiTheme="majorHAnsi" w:hAnsiTheme="majorHAnsi"/>
          <w:b/>
          <w:bCs/>
          <w:color w:val="000000"/>
        </w:rPr>
        <w:t xml:space="preserve">Nueva edición digital de </w:t>
      </w:r>
      <w:r>
        <w:rPr>
          <w:rStyle w:val="Xil"/>
          <w:rFonts w:eastAsia="" w:cs="Arial" w:ascii="Calibri Light" w:hAnsi="Calibri Light" w:asciiTheme="majorHAnsi" w:eastAsiaTheme="majorEastAsia" w:hAnsiTheme="majorHAnsi"/>
          <w:b/>
          <w:bCs/>
          <w:i/>
          <w:iCs/>
          <w:color w:val="000000"/>
        </w:rPr>
        <w:t>La</w:t>
      </w:r>
      <w:r>
        <w:rPr>
          <w:rFonts w:cs="Arial" w:ascii="Calibri Light" w:hAnsi="Calibri Light" w:asciiTheme="majorHAnsi" w:hAnsiTheme="majorHAnsi"/>
          <w:b/>
          <w:bCs/>
          <w:i/>
          <w:iCs/>
          <w:color w:val="000000"/>
        </w:rPr>
        <w:t xml:space="preserve"> </w:t>
      </w:r>
      <w:r>
        <w:rPr>
          <w:rStyle w:val="Xil"/>
          <w:rFonts w:eastAsia="" w:cs="Arial" w:ascii="Calibri Light" w:hAnsi="Calibri Light" w:asciiTheme="majorHAnsi" w:eastAsiaTheme="majorEastAsia" w:hAnsiTheme="majorHAnsi"/>
          <w:b/>
          <w:bCs/>
          <w:i/>
          <w:iCs/>
          <w:color w:val="000000"/>
        </w:rPr>
        <w:t>Biblioteca</w:t>
      </w:r>
      <w:r>
        <w:rPr>
          <w:rFonts w:cs="Arial" w:ascii="Calibri Light" w:hAnsi="Calibri Light" w:asciiTheme="majorHAnsi" w:hAnsiTheme="majorHAnsi"/>
          <w:b/>
          <w:bCs/>
          <w:color w:val="000000"/>
        </w:rPr>
        <w:t xml:space="preserve">, </w:t>
      </w:r>
      <w:r>
        <w:rPr>
          <w:rStyle w:val="Xil"/>
          <w:rFonts w:eastAsia="" w:cs="Arial" w:ascii="Calibri Light" w:hAnsi="Calibri Light" w:asciiTheme="majorHAnsi" w:eastAsiaTheme="majorEastAsia" w:hAnsiTheme="majorHAnsi"/>
          <w:b/>
          <w:bCs/>
          <w:color w:val="000000"/>
        </w:rPr>
        <w:t>la</w:t>
      </w:r>
      <w:r>
        <w:rPr>
          <w:rFonts w:cs="Arial" w:ascii="Calibri Light" w:hAnsi="Calibri Light" w:asciiTheme="majorHAnsi" w:hAnsiTheme="majorHAnsi"/>
          <w:b/>
          <w:bCs/>
          <w:color w:val="000000"/>
        </w:rPr>
        <w:t xml:space="preserve"> </w:t>
      </w:r>
      <w:r>
        <w:rPr>
          <w:rStyle w:val="Xil"/>
          <w:rFonts w:eastAsia="" w:cs="Arial" w:ascii="Calibri Light" w:hAnsi="Calibri Light" w:asciiTheme="majorHAnsi" w:eastAsiaTheme="majorEastAsia" w:hAnsiTheme="majorHAnsi"/>
          <w:b/>
          <w:bCs/>
          <w:color w:val="000000"/>
        </w:rPr>
        <w:t>revista</w:t>
      </w:r>
      <w:r>
        <w:rPr>
          <w:rFonts w:cs="Arial" w:ascii="Calibri Light" w:hAnsi="Calibri Light" w:asciiTheme="majorHAnsi" w:hAnsiTheme="majorHAnsi"/>
          <w:b/>
          <w:bCs/>
          <w:color w:val="000000"/>
        </w:rPr>
        <w:t xml:space="preserve"> fundada por Paul Groussac y rescatada por Borges en </w:t>
      </w:r>
      <w:r>
        <w:rPr>
          <w:rStyle w:val="Xil"/>
          <w:rFonts w:eastAsia="" w:cs="Arial" w:ascii="Calibri Light" w:hAnsi="Calibri Light" w:asciiTheme="majorHAnsi" w:eastAsiaTheme="majorEastAsia" w:hAnsiTheme="majorHAnsi"/>
          <w:b/>
          <w:bCs/>
          <w:color w:val="000000"/>
        </w:rPr>
        <w:t>la</w:t>
      </w:r>
      <w:r>
        <w:rPr>
          <w:rFonts w:cs="Arial" w:ascii="Calibri Light" w:hAnsi="Calibri Light" w:asciiTheme="majorHAnsi" w:hAnsiTheme="majorHAnsi"/>
          <w:b/>
          <w:bCs/>
          <w:color w:val="000000"/>
        </w:rPr>
        <w:t xml:space="preserve"> </w:t>
      </w:r>
      <w:r>
        <w:rPr>
          <w:rStyle w:val="Xil"/>
          <w:rFonts w:eastAsia="" w:cs="Arial" w:ascii="Calibri Light" w:hAnsi="Calibri Light" w:asciiTheme="majorHAnsi" w:eastAsiaTheme="majorEastAsia" w:hAnsiTheme="majorHAnsi"/>
          <w:b/>
          <w:bCs/>
          <w:color w:val="000000"/>
        </w:rPr>
        <w:t>Biblioteca</w:t>
      </w:r>
      <w:r>
        <w:rPr>
          <w:rFonts w:cs="Arial" w:ascii="Calibri Light" w:hAnsi="Calibri Light" w:asciiTheme="majorHAnsi" w:hAnsiTheme="majorHAnsi"/>
          <w:b/>
          <w:bCs/>
          <w:color w:val="000000"/>
        </w:rPr>
        <w:t xml:space="preserve"> Nacional</w:t>
      </w:r>
      <w:r/>
    </w:p>
    <w:p>
      <w:pPr>
        <w:pStyle w:val="NormalWeb"/>
        <w:shd w:val="clear" w:color="auto" w:themeColor="" w:themeTint="" w:themeShade="" w:fill="FFFFFF" w:themeFill="" w:themeFillTint="" w:themeFillShade=""/>
        <w:spacing w:beforeAutospacing="0" w:before="0" w:afterAutospacing="0" w:after="0"/>
        <w:jc w:val="center"/>
        <w:rPr>
          <w:rFonts w:ascii="Calibri Light" w:hAnsi="Calibri Light" w:cs="Segoe UI" w:asciiTheme="majorHAnsi" w:hAnsiTheme="majorHAnsi"/>
          <w:color w:val="222222"/>
        </w:rPr>
      </w:pPr>
      <w:r>
        <w:rPr/>
        <w:drawing>
          <wp:inline distT="0" distB="0" distL="0" distR="0">
            <wp:extent cx="3153410" cy="4414520"/>
            <wp:effectExtent l="0" t="0" r="0" b="0"/>
            <wp:docPr id="4" name="Picture" descr="http://i.embluejet.com/ImagenesMoxie/2524/images/labibliot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i.embluejet.com/ImagenesMoxie/2524/images/labiblioteca.jpg"/>
                    <pic:cNvPicPr>
                      <a:picLocks noChangeAspect="1" noChangeArrowheads="1"/>
                    </pic:cNvPicPr>
                  </pic:nvPicPr>
                  <pic:blipFill>
                    <a:blip r:embed="rId10"/>
                    <a:stretch>
                      <a:fillRect/>
                    </a:stretch>
                  </pic:blipFill>
                  <pic:spPr bwMode="auto">
                    <a:xfrm>
                      <a:off x="0" y="0"/>
                      <a:ext cx="3153410" cy="4414520"/>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beforeAutospacing="0" w:before="0" w:afterAutospacing="0" w:after="0"/>
        <w:jc w:val="center"/>
        <w:rPr>
          <w:rFonts w:ascii="Calibri Light" w:hAnsi="Calibri Light" w:cs="Segoe UI" w:asciiTheme="majorHAnsi" w:hAnsiTheme="majorHAnsi"/>
          <w:color w:val="222222"/>
        </w:rPr>
      </w:pPr>
      <w:r>
        <w:rPr>
          <w:rFonts w:cs="Arial" w:ascii="Calibri Light" w:hAnsi="Calibri Light" w:asciiTheme="majorHAnsi" w:hAnsiTheme="majorHAnsi"/>
          <w:color w:val="3366FF"/>
        </w:rPr>
        <w:t>Haciendo click en la imagen, pueden acceder directamente.</w:t>
      </w:r>
      <w:r>
        <w:rPr>
          <w:rFonts w:cs="Arial" w:ascii="Calibri Light" w:hAnsi="Calibri Light" w:asciiTheme="majorHAnsi" w:hAnsiTheme="majorHAnsi"/>
          <w:color w:val="000000"/>
        </w:rPr>
        <w:br/>
      </w:r>
      <w:r/>
    </w:p>
    <w:p>
      <w:pPr>
        <w:pStyle w:val="NormalWeb"/>
        <w:shd w:val="clear" w:color="auto" w:themeColor="" w:themeTint="" w:themeShade="" w:fill="FFFFFF" w:themeFill="" w:themeFillTint="" w:themeFillShade=""/>
        <w:spacing w:beforeAutospacing="0" w:before="0" w:afterAutospacing="0" w:after="0"/>
        <w:rPr>
          <w:rFonts w:ascii="Calibri Light" w:hAnsi="Calibri Light" w:cs="Segoe UI" w:asciiTheme="majorHAnsi" w:hAnsiTheme="majorHAnsi"/>
          <w:color w:val="222222"/>
        </w:rPr>
      </w:pPr>
      <w:r>
        <w:rPr>
          <w:rStyle w:val="Xil"/>
          <w:rFonts w:eastAsia="" w:cs="Arial" w:ascii="Calibri Light" w:hAnsi="Calibri Light" w:asciiTheme="majorHAnsi" w:eastAsiaTheme="majorEastAsia" w:hAnsiTheme="majorHAnsi"/>
          <w:i/>
          <w:iCs/>
          <w:color w:val="000000"/>
        </w:rPr>
        <w:t>La</w:t>
      </w:r>
      <w:r>
        <w:rPr>
          <w:rFonts w:cs="Arial" w:ascii="Calibri Light" w:hAnsi="Calibri Light" w:asciiTheme="majorHAnsi" w:hAnsiTheme="majorHAnsi"/>
          <w:i/>
          <w:iCs/>
          <w:color w:val="000000"/>
        </w:rPr>
        <w:t xml:space="preserve"> </w:t>
      </w:r>
      <w:r>
        <w:rPr>
          <w:rStyle w:val="Xil"/>
          <w:rFonts w:eastAsia="" w:cs="Arial" w:ascii="Calibri Light" w:hAnsi="Calibri Light" w:asciiTheme="majorHAnsi" w:eastAsiaTheme="majorEastAsia" w:hAnsiTheme="majorHAnsi"/>
          <w:i/>
          <w:iCs/>
          <w:color w:val="000000"/>
        </w:rPr>
        <w:t>Biblioteca</w:t>
      </w:r>
      <w:r>
        <w:rPr>
          <w:rFonts w:cs="Arial" w:ascii="Calibri Light" w:hAnsi="Calibri Light" w:asciiTheme="majorHAnsi" w:hAnsiTheme="majorHAnsi"/>
          <w:color w:val="000000"/>
        </w:rPr>
        <w:t>,</w:t>
      </w:r>
      <w:r>
        <w:rPr>
          <w:rFonts w:cs="Arial" w:ascii="Calibri Light" w:hAnsi="Calibri Light" w:asciiTheme="majorHAnsi" w:hAnsiTheme="majorHAnsi"/>
          <w:i/>
          <w:iCs/>
          <w:color w:val="000000"/>
        </w:rPr>
        <w:t xml:space="preserve"> </w:t>
      </w:r>
      <w:r>
        <w:rPr>
          <w:rFonts w:cs="Arial" w:ascii="Calibri Light" w:hAnsi="Calibri Light" w:asciiTheme="majorHAnsi" w:hAnsiTheme="majorHAnsi"/>
          <w:color w:val="000000"/>
        </w:rPr>
        <w:t xml:space="preserve">ideada por Paul Groussac, es una publicación anual que acompañó a </w:t>
      </w:r>
      <w:r>
        <w:rPr>
          <w:rStyle w:val="Xil"/>
          <w:rFonts w:eastAsia="" w:cs="Arial" w:ascii="Calibri Light" w:hAnsi="Calibri Light" w:asciiTheme="majorHAnsi" w:eastAsiaTheme="majorEastAsia" w:hAnsiTheme="majorHAnsi"/>
          <w:color w:val="000000"/>
        </w:rPr>
        <w:t>la</w:t>
      </w:r>
      <w:r>
        <w:rPr>
          <w:rFonts w:cs="Arial" w:ascii="Calibri Light" w:hAnsi="Calibri Light" w:asciiTheme="majorHAnsi" w:hAnsiTheme="majorHAnsi"/>
          <w:color w:val="000000"/>
        </w:rPr>
        <w:t xml:space="preserve"> </w:t>
      </w:r>
      <w:r>
        <w:rPr>
          <w:rStyle w:val="Xil"/>
          <w:rFonts w:eastAsia="" w:cs="Arial" w:ascii="Calibri Light" w:hAnsi="Calibri Light" w:asciiTheme="majorHAnsi" w:eastAsiaTheme="majorEastAsia" w:hAnsiTheme="majorHAnsi"/>
          <w:color w:val="000000"/>
        </w:rPr>
        <w:t>Biblioteca</w:t>
      </w:r>
      <w:r>
        <w:rPr>
          <w:rFonts w:cs="Arial" w:ascii="Calibri Light" w:hAnsi="Calibri Light" w:asciiTheme="majorHAnsi" w:hAnsiTheme="majorHAnsi"/>
          <w:color w:val="000000"/>
        </w:rPr>
        <w:t xml:space="preserve"> Nacional a lo largo de su historia y se caracterizó desde siempre por su espíritu crítico y aventurero, y </w:t>
      </w:r>
      <w:r>
        <w:rPr>
          <w:rStyle w:val="Xil"/>
          <w:rFonts w:eastAsia="" w:cs="Arial" w:ascii="Calibri Light" w:hAnsi="Calibri Light" w:asciiTheme="majorHAnsi" w:eastAsiaTheme="majorEastAsia" w:hAnsiTheme="majorHAnsi"/>
          <w:color w:val="000000"/>
        </w:rPr>
        <w:t>la</w:t>
      </w:r>
      <w:r>
        <w:rPr>
          <w:rFonts w:cs="Arial" w:ascii="Calibri Light" w:hAnsi="Calibri Light" w:asciiTheme="majorHAnsi" w:hAnsiTheme="majorHAnsi"/>
          <w:color w:val="000000"/>
        </w:rPr>
        <w:t xml:space="preserve"> pluralidad de perspectivas que se despliegan en un conjunto de ensayos literarios de autores de todos los tiempos.</w:t>
      </w:r>
      <w:r/>
    </w:p>
    <w:p>
      <w:pPr>
        <w:pStyle w:val="NormalWeb"/>
        <w:shd w:val="clear" w:color="auto" w:themeColor="" w:themeTint="" w:themeShade="" w:fill="FFFFFF" w:themeFill="" w:themeFillTint="" w:themeFillShade=""/>
        <w:spacing w:beforeAutospacing="0" w:before="0" w:afterAutospacing="0" w:after="0"/>
        <w:rPr>
          <w:rFonts w:ascii="Calibri Light" w:hAnsi="Calibri Light" w:cs="Segoe UI" w:asciiTheme="majorHAnsi" w:hAnsiTheme="majorHAnsi"/>
          <w:color w:val="222222"/>
        </w:rPr>
      </w:pPr>
      <w:r>
        <w:rPr>
          <w:rFonts w:cs="Arial" w:ascii="Calibri Light" w:hAnsi="Calibri Light" w:asciiTheme="majorHAnsi" w:hAnsiTheme="majorHAnsi"/>
          <w:color w:val="000000"/>
        </w:rPr>
        <w:t xml:space="preserve">En esta oportunidad se lanza el primer número de su cuarta época (el número 16 desde su creación) con el tema central de </w:t>
      </w:r>
      <w:r>
        <w:rPr>
          <w:rStyle w:val="Xil"/>
          <w:rFonts w:eastAsia="" w:cs="Arial" w:ascii="Calibri Light" w:hAnsi="Calibri Light" w:asciiTheme="majorHAnsi" w:eastAsiaTheme="majorEastAsia" w:hAnsiTheme="majorHAnsi"/>
          <w:b/>
          <w:bCs/>
          <w:color w:val="000000"/>
        </w:rPr>
        <w:t>la</w:t>
      </w:r>
      <w:r>
        <w:rPr>
          <w:rStyle w:val="Strong"/>
          <w:rFonts w:cs="Arial" w:ascii="Calibri Light" w:hAnsi="Calibri Light" w:asciiTheme="majorHAnsi" w:hAnsiTheme="majorHAnsi"/>
          <w:color w:val="000000"/>
        </w:rPr>
        <w:t xml:space="preserve"> violencia</w:t>
      </w:r>
      <w:r>
        <w:rPr>
          <w:rFonts w:cs="Arial" w:ascii="Calibri Light" w:hAnsi="Calibri Light" w:asciiTheme="majorHAnsi" w:hAnsiTheme="majorHAnsi"/>
          <w:color w:val="000000"/>
        </w:rPr>
        <w:t xml:space="preserve">, no tratada de manera única, sino en sus múltiples y veladas expresiones: en el lenguaje, el cuerpo, las instituciones, los lazos filiales, en </w:t>
      </w:r>
      <w:r>
        <w:rPr>
          <w:rStyle w:val="Xil"/>
          <w:rFonts w:eastAsia="" w:cs="Arial" w:ascii="Calibri Light" w:hAnsi="Calibri Light" w:asciiTheme="majorHAnsi" w:eastAsiaTheme="majorEastAsia" w:hAnsiTheme="majorHAnsi"/>
          <w:color w:val="000000"/>
        </w:rPr>
        <w:t>la</w:t>
      </w:r>
      <w:r>
        <w:rPr>
          <w:rFonts w:cs="Arial" w:ascii="Calibri Light" w:hAnsi="Calibri Light" w:asciiTheme="majorHAnsi" w:hAnsiTheme="majorHAnsi"/>
          <w:color w:val="000000"/>
        </w:rPr>
        <w:t xml:space="preserve"> sexualidad, </w:t>
      </w:r>
      <w:r>
        <w:rPr>
          <w:rStyle w:val="Xil"/>
          <w:rFonts w:eastAsia="" w:cs="Arial" w:ascii="Calibri Light" w:hAnsi="Calibri Light" w:asciiTheme="majorHAnsi" w:eastAsiaTheme="majorEastAsia" w:hAnsiTheme="majorHAnsi"/>
          <w:color w:val="000000"/>
        </w:rPr>
        <w:t>la</w:t>
      </w:r>
      <w:r>
        <w:rPr>
          <w:rFonts w:cs="Arial" w:ascii="Calibri Light" w:hAnsi="Calibri Light" w:asciiTheme="majorHAnsi" w:hAnsiTheme="majorHAnsi"/>
          <w:color w:val="000000"/>
        </w:rPr>
        <w:t xml:space="preserve"> moneda, el Estado y </w:t>
      </w:r>
      <w:r>
        <w:rPr>
          <w:rStyle w:val="Xil"/>
          <w:rFonts w:eastAsia="" w:cs="Arial" w:ascii="Calibri Light" w:hAnsi="Calibri Light" w:asciiTheme="majorHAnsi" w:eastAsiaTheme="majorEastAsia" w:hAnsiTheme="majorHAnsi"/>
          <w:color w:val="000000"/>
        </w:rPr>
        <w:t>la</w:t>
      </w:r>
      <w:r>
        <w:rPr>
          <w:rFonts w:cs="Arial" w:ascii="Calibri Light" w:hAnsi="Calibri Light" w:asciiTheme="majorHAnsi" w:hAnsiTheme="majorHAnsi"/>
          <w:color w:val="000000"/>
        </w:rPr>
        <w:t xml:space="preserve"> política. Un conjunto de ensayos, poemas, fotografías y narraciones de escritores de las más variadas latitudes y estilos.</w:t>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222222"/>
        </w:rPr>
      </w:pPr>
      <w:r>
        <w:rPr>
          <w:rFonts w:cs="Segoe UI" w:ascii="Calibri Light" w:hAnsi="Calibri Light"/>
          <w:color w:val="222222"/>
          <w:sz w:val="24"/>
          <w:szCs w:val="24"/>
        </w:rPr>
      </w:r>
      <w:r/>
    </w:p>
    <w:p>
      <w:pPr>
        <w:pStyle w:val="NormalWeb"/>
        <w:shd w:val="clear" w:color="auto" w:themeColor="" w:themeTint="" w:themeShade="" w:fill="FFFFFF" w:themeFill="" w:themeFillTint="" w:themeFillShade=""/>
        <w:spacing w:beforeAutospacing="0" w:before="0" w:afterAutospacing="0" w:after="0"/>
        <w:rPr>
          <w:rFonts w:ascii="Calibri Light" w:hAnsi="Calibri Light" w:cs="Segoe UI" w:asciiTheme="majorHAnsi" w:hAnsiTheme="majorHAnsi"/>
          <w:color w:val="222222"/>
        </w:rPr>
      </w:pPr>
      <w:r>
        <w:rPr>
          <w:rStyle w:val="Xil"/>
          <w:rFonts w:eastAsia="" w:cs="Arial" w:ascii="Calibri Light" w:hAnsi="Calibri Light" w:asciiTheme="majorHAnsi" w:eastAsiaTheme="majorEastAsia" w:hAnsiTheme="majorHAnsi"/>
          <w:color w:val="000000"/>
        </w:rPr>
        <w:t>Revista</w:t>
      </w:r>
      <w:r>
        <w:rPr>
          <w:rFonts w:cs="Arial" w:ascii="Calibri Light" w:hAnsi="Calibri Light" w:asciiTheme="majorHAnsi" w:hAnsiTheme="majorHAnsi"/>
          <w:color w:val="000000"/>
        </w:rPr>
        <w:t xml:space="preserve"> </w:t>
      </w:r>
      <w:r>
        <w:rPr>
          <w:rStyle w:val="Xil"/>
          <w:rFonts w:eastAsia="" w:cs="Arial" w:ascii="Calibri Light" w:hAnsi="Calibri Light" w:asciiTheme="majorHAnsi" w:eastAsiaTheme="majorEastAsia" w:hAnsiTheme="majorHAnsi"/>
          <w:i/>
          <w:iCs/>
          <w:color w:val="000000"/>
        </w:rPr>
        <w:t>La</w:t>
      </w:r>
      <w:r>
        <w:rPr>
          <w:rFonts w:cs="Arial" w:ascii="Calibri Light" w:hAnsi="Calibri Light" w:asciiTheme="majorHAnsi" w:hAnsiTheme="majorHAnsi"/>
          <w:i/>
          <w:iCs/>
          <w:color w:val="000000"/>
        </w:rPr>
        <w:t xml:space="preserve"> </w:t>
      </w:r>
      <w:r>
        <w:rPr>
          <w:rStyle w:val="Xil"/>
          <w:rFonts w:eastAsia="" w:cs="Arial" w:ascii="Calibri Light" w:hAnsi="Calibri Light" w:asciiTheme="majorHAnsi" w:eastAsiaTheme="majorEastAsia" w:hAnsiTheme="majorHAnsi"/>
          <w:i/>
          <w:iCs/>
          <w:color w:val="000000"/>
        </w:rPr>
        <w:t>Biblioteca</w:t>
      </w:r>
      <w:r>
        <w:rPr>
          <w:rFonts w:cs="Arial" w:ascii="Calibri Light" w:hAnsi="Calibri Light" w:asciiTheme="majorHAnsi" w:hAnsiTheme="majorHAnsi"/>
          <w:i/>
          <w:iCs/>
          <w:color w:val="000000"/>
        </w:rPr>
        <w:t xml:space="preserve"> n.º</w:t>
      </w:r>
      <w:r>
        <w:rPr>
          <w:rFonts w:cs="Arial" w:ascii="Calibri Light" w:hAnsi="Calibri Light" w:asciiTheme="majorHAnsi" w:hAnsiTheme="majorHAnsi"/>
          <w:color w:val="000000"/>
        </w:rPr>
        <w:t xml:space="preserve"> </w:t>
      </w:r>
      <w:r>
        <w:rPr>
          <w:rFonts w:cs="Arial" w:ascii="Calibri Light" w:hAnsi="Calibri Light" w:asciiTheme="majorHAnsi" w:hAnsiTheme="majorHAnsi"/>
          <w:i/>
          <w:iCs/>
          <w:color w:val="000000"/>
        </w:rPr>
        <w:t xml:space="preserve">16. Cuarta época 1: Violencia </w:t>
      </w:r>
      <w:r>
        <w:rPr>
          <w:rFonts w:cs="Arial" w:ascii="Calibri Light" w:hAnsi="Calibri Light" w:asciiTheme="majorHAnsi" w:hAnsiTheme="majorHAnsi"/>
          <w:color w:val="000000"/>
        </w:rPr>
        <w:t xml:space="preserve">ya está disponible en el sitio web de </w:t>
      </w:r>
      <w:r>
        <w:rPr>
          <w:rStyle w:val="Xil"/>
          <w:rFonts w:eastAsia="" w:cs="Arial" w:ascii="Calibri Light" w:hAnsi="Calibri Light" w:asciiTheme="majorHAnsi" w:eastAsiaTheme="majorEastAsia" w:hAnsiTheme="majorHAnsi"/>
          <w:color w:val="000000"/>
        </w:rPr>
        <w:t>la</w:t>
      </w:r>
      <w:r>
        <w:rPr>
          <w:rFonts w:cs="Arial" w:ascii="Calibri Light" w:hAnsi="Calibri Light" w:asciiTheme="majorHAnsi" w:hAnsiTheme="majorHAnsi"/>
          <w:color w:val="000000"/>
        </w:rPr>
        <w:t xml:space="preserve"> </w:t>
      </w:r>
      <w:r>
        <w:rPr>
          <w:rStyle w:val="Xil"/>
          <w:rFonts w:eastAsia="" w:cs="Arial" w:ascii="Calibri Light" w:hAnsi="Calibri Light" w:asciiTheme="majorHAnsi" w:eastAsiaTheme="majorEastAsia" w:hAnsiTheme="majorHAnsi"/>
          <w:color w:val="000000"/>
        </w:rPr>
        <w:t>Biblioteca</w:t>
      </w:r>
      <w:r>
        <w:rPr>
          <w:rFonts w:cs="Arial" w:ascii="Calibri Light" w:hAnsi="Calibri Light" w:asciiTheme="majorHAnsi" w:hAnsiTheme="majorHAnsi"/>
          <w:color w:val="000000"/>
        </w:rPr>
        <w:t xml:space="preserve"> Nacional Mariano Moreno, para leer en línea o bajar a cualquier dispositivo. </w:t>
        <w:br/>
        <w:br/>
        <w:br/>
        <w:br/>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212121"/>
        </w:rPr>
      </w:pPr>
      <w:r>
        <w:rPr>
          <w:rFonts w:cs="Segoe UI" w:ascii="Calibri Light" w:hAnsi="Calibri Light" w:asciiTheme="majorHAnsi" w:hAnsiTheme="majorHAnsi"/>
          <w:color w:val="212121"/>
          <w:sz w:val="24"/>
          <w:szCs w:val="24"/>
        </w:rPr>
        <w:t>?Prensa y Comunicación</w:t>
        <w:br/>
        <w:t>Biblioteca Nacional Mariano Moreno</w:t>
        <w:br/>
        <w:t>Agüero 2502</w:t>
        <w:br/>
        <w:t>tel 5411 4808 6000</w:t>
        <w:br/>
      </w:r>
      <w:r>
        <w:rPr>
          <w:rFonts w:cs="Segoe UI" w:ascii="Calibri Light" w:hAnsi="Calibri Light" w:asciiTheme="majorHAnsi" w:hAnsiTheme="majorHAnsi"/>
          <w:color w:val="000000"/>
          <w:sz w:val="24"/>
          <w:szCs w:val="24"/>
        </w:rPr>
        <w:t>internos 1394/1395/1396</w:t>
      </w:r>
      <w:r/>
    </w:p>
    <w:p>
      <w:pPr>
        <w:pStyle w:val="Normal"/>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2017 Gale/LJ Library of the Year: Nashville Public Library, TN</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11">
        <w:r>
          <w:rPr>
            <w:rStyle w:val="EnlacedeInternet"/>
            <w:rFonts w:cs="Arial" w:ascii="Calibri Light" w:hAnsi="Calibri Light" w:asciiTheme="majorHAnsi" w:hAnsiTheme="majorHAnsi"/>
            <w:color w:val="006699"/>
            <w:sz w:val="24"/>
            <w:szCs w:val="24"/>
            <w:lang w:val="en-US"/>
          </w:rPr>
          <w:t>John N. Berry III</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7"/>
          <w:rFonts w:cs="Arial" w:ascii="Calibri Light" w:hAnsi="Calibri Light" w:asciiTheme="majorHAnsi" w:hAnsiTheme="majorHAnsi"/>
          <w:color w:val="333333"/>
          <w:sz w:val="24"/>
          <w:szCs w:val="24"/>
          <w:lang w:val="en-US"/>
        </w:rPr>
        <w:t>June 6,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"http://lj.libraryjournal.com/2017/06/awards/2017-galelj-library-of-the-year-nashville-public-library-tn/" \l "comments"</w:instrText>
      </w:r>
      <w:r>
        <w:fldChar w:fldCharType="separate"/>
      </w:r>
      <w:r>
        <w:rPr>
          <w:rStyle w:val="EnlacedeInternet"/>
          <w:rFonts w:cs="Arial" w:ascii="Calibri Light" w:hAnsi="Calibri Light" w:asciiTheme="majorHAnsi" w:hAnsiTheme="majorHAnsi"/>
          <w:color w:val="006699"/>
          <w:sz w:val="24"/>
          <w:szCs w:val="24"/>
          <w:lang w:val="en-US"/>
        </w:rPr>
        <w:t>3 Comments</w:t>
      </w:r>
      <w:r>
        <w:fldChar w:fldCharType="end"/>
      </w:r>
      <w:r/>
    </w:p>
    <w:p>
      <w:pPr>
        <w:pStyle w:val="Normal"/>
        <w:shd w:val="clear" w:color="auto" w:themeColor="" w:themeTint="" w:themeShade="" w:fill="FFFFFF" w:themeFill="" w:themeFillTint="" w:themeFillShade=""/>
        <w:jc w:val="center"/>
        <w:rPr>
          <w:sz w:val="24"/>
          <w:sz w:val="24"/>
          <w:szCs w:val="24"/>
          <w:rFonts w:ascii="Calibri Light" w:hAnsi="Calibri Light" w:cs="Arial" w:asciiTheme="majorHAnsi" w:hAnsiTheme="majorHAnsi"/>
          <w:color w:val="333333"/>
        </w:rPr>
      </w:pPr>
      <w:r>
        <w:rPr/>
        <w:drawing>
          <wp:inline distT="0" distB="0" distL="0" distR="0">
            <wp:extent cx="5426075" cy="6846570"/>
            <wp:effectExtent l="0" t="0" r="0" b="0"/>
            <wp:docPr id="5" name="Picture" descr="http://lj.libraryjournal.com/wp-content/uploads/2017/06/ljx170602webLOY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lj.libraryjournal.com/wp-content/uploads/2017/06/ljx170602webLOY1c.jpg"/>
                    <pic:cNvPicPr>
                      <a:picLocks noChangeAspect="1" noChangeArrowheads="1"/>
                    </pic:cNvPicPr>
                  </pic:nvPicPr>
                  <pic:blipFill>
                    <a:blip r:embed="rId12"/>
                    <a:stretch>
                      <a:fillRect/>
                    </a:stretch>
                  </pic:blipFill>
                  <pic:spPr bwMode="auto">
                    <a:xfrm>
                      <a:off x="0" y="0"/>
                      <a:ext cx="5426075" cy="684657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NPL staff in the Main Library’s Grand Reading Room.</w:t>
      </w:r>
      <w:r>
        <w:rPr>
          <w:rStyle w:val="Appleconvertedspace"/>
          <w:rFonts w:cs="Arial" w:ascii="Calibri Light" w:hAnsi="Calibri Light" w:asciiTheme="majorHAnsi" w:hAnsiTheme="majorHAnsi"/>
          <w:color w:val="333333"/>
          <w:lang w:val="en-US"/>
        </w:rPr>
        <w:t> </w:t>
      </w:r>
      <w:r>
        <w:rPr>
          <w:rStyle w:val="Credit"/>
          <w:rFonts w:cs="Arial" w:ascii="Calibri Light" w:hAnsi="Calibri Light" w:asciiTheme="majorHAnsi" w:hAnsiTheme="majorHAnsi"/>
          <w:i/>
          <w:iCs/>
          <w:color w:val="333333"/>
          <w:lang w:val="en-US"/>
        </w:rPr>
        <w:t>Photo ©2017 Bob Schatz</w:t>
      </w:r>
      <w:r/>
    </w:p>
    <w:p>
      <w:pPr>
        <w:pStyle w:val="Encabezado1"/>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cs="Arial" w:asciiTheme="majorHAnsi" w:hAnsiTheme="majorHAnsi"/>
          <w:color w:val="333333"/>
          <w:lang w:val="en-US"/>
        </w:rPr>
      </w:pPr>
      <w:r>
        <w:rPr>
          <w:rStyle w:val="K4lead"/>
          <w:rFonts w:cs="Arial" w:ascii="Calibri Light" w:hAnsi="Calibri Light" w:asciiTheme="majorHAnsi" w:hAnsiTheme="majorHAnsi"/>
          <w:color w:val="333333"/>
          <w:sz w:val="24"/>
          <w:szCs w:val="24"/>
          <w:lang w:val="en-US"/>
        </w:rPr>
        <w:t>Library City</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K4lead"/>
          <w:rFonts w:cs="Arial" w:ascii="Calibri Light" w:hAnsi="Calibri Light" w:asciiTheme="majorHAnsi" w:hAnsiTheme="majorHAnsi"/>
          <w:b/>
          <w:bCs/>
          <w:color w:val="333333"/>
          <w:lang w:val="en-US"/>
        </w:rPr>
        <w:t>In the scope</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of its programs, services, and collections; the incredible reach of its efforts in cooperation with other public agencies, departments, and local businesses; and its work to identify and fulfill needs of both the mainstream and marginalized people of Nashville and Davidson County, the Nashville Public Library (NPL), the Gale/</w:t>
      </w:r>
      <w:r>
        <w:rPr>
          <w:rStyle w:val="Destacado"/>
          <w:rFonts w:cs="Arial" w:ascii="Calibri Light" w:hAnsi="Calibri Light" w:asciiTheme="majorHAnsi" w:hAnsiTheme="majorHAnsi"/>
          <w:color w:val="333333"/>
          <w:lang w:val="en-US"/>
        </w:rPr>
        <w:t>LJ</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2017 Library of the Year, is a model for the nation and the world.</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NPL is a champion of diversity and inclusiveness and a literacy gladiator,” writes award judge Gina Millsap, director of the Topeka and Shawnee County Public Library, KS, winner of this award in 2016. “Its culturally diverse programs and centers; its openness and hospitality that welcomes everyone, especially people who are marginalized, struggling, new to the community and this country, and its fierce determination to facilitate literacy and learning throughout the community…are inspiring.”</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http://lj.libraryjournal.com/2017/06/awards/2017-galelj-library-of-the-year-nashville-public-library-tn/</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Academic Libraries Implement New ILS, IR Developed by CERN</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13">
        <w:r>
          <w:rPr>
            <w:rStyle w:val="EnlacedeInternet"/>
            <w:rFonts w:cs="Arial" w:ascii="Calibri Light" w:hAnsi="Calibri Light" w:asciiTheme="majorHAnsi" w:hAnsiTheme="majorHAnsi"/>
            <w:color w:val="006699"/>
            <w:sz w:val="24"/>
            <w:szCs w:val="24"/>
            <w:lang w:val="en-US"/>
          </w:rPr>
          <w:t>Matt Enis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7"/>
          <w:rFonts w:cs="Arial" w:ascii="Calibri Light" w:hAnsi="Calibri Light" w:asciiTheme="majorHAnsi" w:hAnsiTheme="majorHAnsi"/>
          <w:color w:val="333333"/>
          <w:sz w:val="24"/>
          <w:szCs w:val="24"/>
          <w:lang w:val="en-US"/>
        </w:rPr>
        <w:t>May 31,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"http://lj.libraryjournal.com/2017/05/industry-news/academic-libraries-implement-new-ils-ir-developed-by-cern/" \l "comments"</w:instrText>
      </w:r>
      <w:r>
        <w:fldChar w:fldCharType="separate"/>
      </w:r>
      <w:r>
        <w:rPr>
          <w:rStyle w:val="EnlacedeInternet"/>
          <w:rFonts w:cs="Arial" w:ascii="Calibri Light" w:hAnsi="Calibri Light" w:asciiTheme="majorHAnsi" w:hAnsiTheme="majorHAnsi"/>
          <w:color w:val="006699"/>
          <w:sz w:val="24"/>
          <w:szCs w:val="24"/>
          <w:lang w:val="en-US"/>
        </w:rPr>
        <w:t>1 Comment</w:t>
      </w:r>
      <w:r>
        <w:fldChar w:fldCharType="end"/>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619885" cy="1619885"/>
            <wp:effectExtent l="0" t="0" r="0" b="0"/>
            <wp:docPr id="6" name="Picture" descr="CERN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CERN Tech Logo"/>
                    <pic:cNvPicPr>
                      <a:picLocks noChangeAspect="1" noChangeArrowheads="1"/>
                    </pic:cNvPicPr>
                  </pic:nvPicPr>
                  <pic:blipFill>
                    <a:blip r:embed="rId14"/>
                    <a:stretch>
                      <a:fillRect/>
                    </a:stretch>
                  </pic:blipFill>
                  <pic:spPr bwMode="auto">
                    <a:xfrm>
                      <a:off x="0" y="0"/>
                      <a:ext cx="1619885" cy="1619885"/>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Millersville University Library, PA, is implementing an institutional repository (IR) solution developed by</w:t>
      </w:r>
      <w:r>
        <w:rPr>
          <w:rStyle w:val="Appleconvertedspace"/>
          <w:rFonts w:cs="Arial" w:ascii="Calibri Light" w:hAnsi="Calibri Light" w:asciiTheme="majorHAnsi" w:hAnsiTheme="majorHAnsi"/>
          <w:color w:val="333333"/>
          <w:lang w:val="en-US"/>
        </w:rPr>
        <w:t> </w:t>
      </w:r>
      <w:hyperlink r:id="rId15">
        <w:r>
          <w:rPr>
            <w:rStyle w:val="EnlacedeInternet"/>
            <w:rFonts w:cs="Arial" w:ascii="Calibri Light" w:hAnsi="Calibri Light" w:asciiTheme="majorHAnsi" w:hAnsiTheme="majorHAnsi"/>
            <w:color w:val="006699"/>
            <w:lang w:val="en-US"/>
          </w:rPr>
          <w:t>TIND</w:t>
        </w:r>
      </w:hyperlink>
      <w:r>
        <w:rPr>
          <w:rFonts w:cs="Arial" w:ascii="Calibri Light" w:hAnsi="Calibri Light" w:asciiTheme="majorHAnsi" w:hAnsiTheme="majorHAnsi"/>
          <w:color w:val="333333"/>
          <w:lang w:val="en-US"/>
        </w:rPr>
        <w:t>, a commercial spinoff of the European Organization for Nuclear Research (CERN). Millersville is the fourth U.S. university library to adopt one of TIND’s solutions. The California Institute of Technology (Caltech) has been using the</w:t>
      </w:r>
      <w:r>
        <w:rPr>
          <w:rStyle w:val="Appleconvertedspace"/>
          <w:rFonts w:cs="Arial" w:ascii="Calibri Light" w:hAnsi="Calibri Light" w:asciiTheme="majorHAnsi" w:hAnsiTheme="majorHAnsi"/>
          <w:color w:val="333333"/>
          <w:lang w:val="en-US"/>
        </w:rPr>
        <w:t> </w:t>
      </w:r>
      <w:hyperlink r:id="rId16">
        <w:r>
          <w:rPr>
            <w:rStyle w:val="EnlacedeInternet"/>
            <w:rFonts w:cs="Arial" w:ascii="Calibri Light" w:hAnsi="Calibri Light" w:asciiTheme="majorHAnsi" w:hAnsiTheme="majorHAnsi"/>
            <w:color w:val="006699"/>
            <w:lang w:val="en-US"/>
          </w:rPr>
          <w:t>TIND integrated library system</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(ILS) for more than a year and a half, and is currently implementing TIND’s research data repository. The University of Minnesota Library recently began running its Agricultural and Applied Economics subject repository,</w:t>
      </w:r>
      <w:r>
        <w:rPr>
          <w:rStyle w:val="Appleconvertedspace"/>
          <w:rFonts w:cs="Arial" w:ascii="Calibri Light" w:hAnsi="Calibri Light" w:asciiTheme="majorHAnsi" w:hAnsiTheme="majorHAnsi"/>
          <w:color w:val="333333"/>
          <w:lang w:val="en-US"/>
        </w:rPr>
        <w:t> </w:t>
      </w:r>
      <w:hyperlink r:id="rId17">
        <w:r>
          <w:rPr>
            <w:rStyle w:val="EnlacedeInternet"/>
            <w:rFonts w:cs="Arial" w:ascii="Calibri Light" w:hAnsi="Calibri Light" w:asciiTheme="majorHAnsi" w:hAnsiTheme="majorHAnsi"/>
            <w:color w:val="006699"/>
            <w:lang w:val="en-US"/>
          </w:rPr>
          <w:t>AgEcon Search</w:t>
        </w:r>
      </w:hyperlink>
      <w:r>
        <w:rPr>
          <w:rFonts w:cs="Arial" w:ascii="Calibri Light" w:hAnsi="Calibri Light" w:asciiTheme="majorHAnsi" w:hAnsiTheme="majorHAnsi"/>
          <w:color w:val="333333"/>
          <w:lang w:val="en-US"/>
        </w:rPr>
        <w:t>, on TIND’s hosted platform. And Olin College of Engineering, MA, implemented the TIND ILS last year.</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TIND’s suite of solutions was developed with CERN’s open source</w:t>
      </w:r>
      <w:r>
        <w:rPr>
          <w:rStyle w:val="Appleconvertedspace"/>
          <w:rFonts w:cs="Arial" w:ascii="Calibri Light" w:hAnsi="Calibri Light" w:asciiTheme="majorHAnsi" w:hAnsiTheme="majorHAnsi"/>
          <w:color w:val="333333"/>
          <w:lang w:val="en-US"/>
        </w:rPr>
        <w:t> </w:t>
      </w:r>
      <w:hyperlink r:id="rId18">
        <w:r>
          <w:rPr>
            <w:rStyle w:val="EnlacedeInternet"/>
            <w:rFonts w:cs="Arial" w:ascii="Calibri Light" w:hAnsi="Calibri Light" w:asciiTheme="majorHAnsi" w:hAnsiTheme="majorHAnsi"/>
            <w:color w:val="006699"/>
            <w:lang w:val="en-US"/>
          </w:rPr>
          <w:t>Invenio Digital Library Framework</w:t>
        </w:r>
      </w:hyperlink>
      <w:r>
        <w:rPr>
          <w:rFonts w:cs="Arial" w:ascii="Calibri Light" w:hAnsi="Calibri Light" w:asciiTheme="majorHAnsi" w:hAnsiTheme="majorHAnsi"/>
          <w:color w:val="333333"/>
          <w:lang w:val="en-US"/>
        </w:rPr>
        <w:t>, created in 2002 to run CERN’s document server, which manages over 1,000,000 bibliographic records. Following its registration in 2013, TIND was launched in 2015 to provide implementation, cloud-based hosting, feature development, and other support services for this portfolio, and the company is promoting them as leaner, less costly alternatives to systems developed by commercial vendors for academic and special libraries.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addition to the libraries listed above, other adopters include the United Nations, the Max-Planck Institute for Extraterrestrial Physics, the UNESCO International Bureau of Education, and the International Telecommunications Union.</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http://lj.libraryjournal.com/2017/05/industry-news/academic-libraries-implement-new-ils-ir-developed-by-cern/</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People First: Making the Commons Real | Editorial</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19">
        <w:r>
          <w:rPr>
            <w:rStyle w:val="EnlacedeInternet"/>
            <w:rFonts w:cs="Arial" w:ascii="Calibri Light" w:hAnsi="Calibri Light" w:asciiTheme="majorHAnsi" w:hAnsiTheme="majorHAnsi"/>
            <w:color w:val="006699"/>
            <w:sz w:val="24"/>
            <w:szCs w:val="24"/>
            <w:lang w:val="en-US"/>
          </w:rPr>
          <w:t>Rebecca T. Miller</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27"/>
          <w:rFonts w:cs="Arial" w:ascii="Calibri Light" w:hAnsi="Calibri Light" w:asciiTheme="majorHAnsi" w:hAnsiTheme="majorHAnsi"/>
          <w:color w:val="333333"/>
          <w:sz w:val="24"/>
          <w:szCs w:val="24"/>
          <w:lang w:val="en-US"/>
        </w:rPr>
        <w:t>June 2,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"http://lj.libraryjournal.com/2017/06/opinion/editorial/people-first-making-the-commons-real-editorial/"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K4text"/>
        <w:shd w:val="clear" w:color="auto" w:themeColor="" w:themeTint="" w:themeShade="" w:fill="FFFFFF" w:themeFill="" w:themeFillTint="" w:themeFillShade=""/>
        <w:spacing w:beforeAutospacing="0" w:before="0" w:afterAutospacing="0" w:after="0"/>
        <w:rPr>
          <w:b/>
          <w:b/>
          <w:bCs/>
          <w:rFonts w:ascii="Calibri Light" w:hAnsi="Calibri Light" w:cs="Arial" w:asciiTheme="majorHAnsi" w:hAnsiTheme="majorHAnsi"/>
          <w:color w:val="333333"/>
          <w:lang w:val="en-US"/>
        </w:rPr>
      </w:pPr>
      <w:r>
        <w:rPr/>
        <w:drawing>
          <wp:inline distT="0" distB="0" distL="0" distR="0">
            <wp:extent cx="2625725" cy="2625725"/>
            <wp:effectExtent l="0" t="0" r="0" b="0"/>
            <wp:docPr id="7" name="Picture" descr="http://lj.libraryjournal.com/wp-content/uploads/2017/03/ljx170302editorialRMnew1web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http://lj.libraryjournal.com/wp-content/uploads/2017/03/ljx170302editorialRMnew1web_square.jpg"/>
                    <pic:cNvPicPr>
                      <a:picLocks noChangeAspect="1" noChangeArrowheads="1"/>
                    </pic:cNvPicPr>
                  </pic:nvPicPr>
                  <pic:blipFill>
                    <a:blip r:embed="rId20"/>
                    <a:stretch>
                      <a:fillRect/>
                    </a:stretch>
                  </pic:blipFill>
                  <pic:spPr bwMode="auto">
                    <a:xfrm>
                      <a:off x="0" y="0"/>
                      <a:ext cx="2625725" cy="2625725"/>
                    </a:xfrm>
                    <a:prstGeom prst="rect">
                      <a:avLst/>
                    </a:prstGeom>
                    <a:noFill/>
                    <a:ln w="9525">
                      <a:noFill/>
                      <a:miter lim="800000"/>
                      <a:headEnd/>
                      <a:tailEnd/>
                    </a:ln>
                  </pic:spPr>
                </pic:pic>
              </a:graphicData>
            </a:graphic>
          </wp:inline>
        </w:drawing>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K4lead"/>
          <w:rFonts w:cs="Arial" w:ascii="Calibri Light" w:hAnsi="Calibri Light" w:asciiTheme="majorHAnsi" w:hAnsiTheme="majorHAnsi"/>
          <w:b/>
          <w:bCs/>
          <w:color w:val="333333"/>
          <w:lang w:val="en-US"/>
        </w:rPr>
        <w:t>The movement toward more</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people-centric civic design has a new tool to put to work. Last month, the Gehl Institute released “</w:t>
      </w:r>
      <w:hyperlink r:id="rId21">
        <w:r>
          <w:rPr>
            <w:rStyle w:val="EnlacedeInternet"/>
            <w:rFonts w:cs="Arial" w:ascii="Calibri Light" w:hAnsi="Calibri Light" w:asciiTheme="majorHAnsi" w:hAnsiTheme="majorHAnsi"/>
            <w:color w:val="006699"/>
            <w:lang w:val="en-US"/>
          </w:rPr>
          <w:t>A Mayor’s Guide to Public Life</w:t>
        </w:r>
      </w:hyperlink>
      <w:r>
        <w:rPr>
          <w:rFonts w:cs="Arial" w:ascii="Calibri Light" w:hAnsi="Calibri Light" w:asciiTheme="majorHAnsi" w:hAnsiTheme="majorHAnsi"/>
          <w:color w:val="333333"/>
          <w:lang w:val="en-US"/>
        </w:rPr>
        <w:t>”—an inspirational document that showcases breakthrough projects large and small and offers perspective on how to drive such development at the local level. Anyone interested in how we all experience the spaces we move through will find this valuable. Libraries are natural partners in this endeavor, and there are many ideas here to consider applying in the places our libraries touch—whether literally or through partnerships.</w:t>
      </w:r>
      <w:r/>
    </w:p>
    <w:p>
      <w:pPr>
        <w:pStyle w:val="K4text"/>
        <w:shd w:val="clear" w:color="auto" w:themeColor="" w:themeTint="" w:themeShade="" w:fill="FFFFFF" w:themeFill="" w:themeFillTint="" w:themeFillShade=""/>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rPr>
      </w:pPr>
      <w:r>
        <w:rPr>
          <w:rFonts w:cs="Arial" w:ascii="Calibri Light" w:hAnsi="Calibri Light"/>
          <w:color w:val="333333"/>
          <w:lang w:val="en-US"/>
        </w:rPr>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While presenting a tactical process outline for mayors and their administrations to go ahead on improving public spaces, the guide also offers a challenge. The introduction gets right to the point: “We believe that removing barriers to participation and making it easier for more people to spend time in public spaces is key to creating thriving, democratic cities. It’s a legacy that every mayor should aspire to.”</w:t>
      </w:r>
      <w:r/>
    </w:p>
    <w:p>
      <w:pPr>
        <w:pStyle w:val="K4text"/>
        <w:shd w:val="clear" w:color="auto" w:themeColor="" w:themeTint="" w:themeShade="" w:fill="FFFFFF" w:themeFill="" w:themeFillTint="" w:themeFillShade=""/>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rPr>
      </w:pPr>
      <w:r>
        <w:rPr>
          <w:rFonts w:cs="Arial" w:ascii="Calibri Light" w:hAnsi="Calibri Light"/>
          <w:color w:val="333333"/>
          <w:lang w:val="en-US"/>
        </w:rPr>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How? The “Mayor’s Guide” offers what it calls a formula for civic leaders to follow as they approach enhancing the way people engage with their cities and towns: “measure, invite, do, evolve, formalize.” Crucial to the process is seeing how people use a site in the current state first, documenting what they do and where, to understand gaps and opportunities and to inform the case for investment. Then measuring impact down the line.</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 xml:space="preserve">Walkability is a common theme among the case studies, illustrating the results of implementing this formula, the range of solutions, and their impact on livability. Examples include the “pedestrianization” of New York City’s Times Square and Denver’s pilot to bring foot traffic to a transit corridor with its 16th Street Mall project. </w:t>
      </w:r>
      <w:r/>
    </w:p>
    <w:p>
      <w:pPr>
        <w:pStyle w:val="K4text"/>
        <w:shd w:val="clear" w:color="auto" w:themeColor="" w:themeTint="" w:themeShade="" w:fill="FFFFFF" w:themeFill="" w:themeFillTint="" w:themeFillShade=""/>
        <w:spacing w:beforeAutospacing="0" w:before="0" w:afterAutospacing="0" w:after="0"/>
        <w:rPr>
          <w:sz w:val="24"/>
          <w:sz w:val="24"/>
          <w:szCs w:val="24"/>
          <w:rFonts w:ascii="Calibri Light" w:hAnsi="Calibri Light" w:eastAsia="Times New Roman" w:cs="Arial" w:asciiTheme="majorHAnsi" w:hAnsiTheme="majorHAnsi"/>
          <w:color w:val="333333"/>
          <w:lang w:val="en-US" w:eastAsia="es-MX"/>
        </w:rPr>
      </w:pPr>
      <w:r>
        <w:rPr>
          <w:rFonts w:cs="Arial" w:ascii="Calibri Light" w:hAnsi="Calibri Light"/>
          <w:color w:val="333333"/>
          <w:lang w:val="en-US"/>
        </w:rPr>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Those are something to study, and so is a park project in Lexington, KY, which epitomizes what can be gained when planners put people first. There, tension over kids playing in a fountain in a city park became transformational when leaders saw the opportunity to improve the park experience for everyone by introducing more places for kids to play, including water features, in a project dubbed “SplashJAM.”</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http://lj.libraryjournal.com/2017/06/opinion/editorial/people-first-making-the-commons-real-editorial/</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tbl>
      <w:tblPr>
        <w:tblW w:w="10500" w:type="dxa"/>
        <w:jc w:val="center"/>
        <w:tblInd w:w="0" w:type="dxa"/>
        <w:tblBorders/>
        <w:tblCellMar>
          <w:top w:w="150" w:type="dxa"/>
          <w:left w:w="0" w:type="dxa"/>
          <w:bottom w:w="0" w:type="dxa"/>
          <w:right w:w="0" w:type="dxa"/>
        </w:tblCellMar>
      </w:tblPr>
      <w:tblGrid>
        <w:gridCol w:w="10500"/>
      </w:tblGrid>
      <w:tr>
        <w:trPr>
          <w:trHeight w:val="23" w:hRule="exact"/>
        </w:trPr>
        <w:tc>
          <w:tcPr>
            <w:tcW w:w="10500" w:type="dxa"/>
            <w:tcBorders/>
            <w:shd w:color="auto" w:fill="FFFFFF" w:val="clear"/>
            <w:vAlign w:val="center"/>
          </w:tcPr>
          <w:p>
            <w:pPr>
              <w:pStyle w:val="Normal"/>
              <w:pageBreakBefore/>
              <w:rPr>
                <w:lang w:val="en-US"/>
              </w:rPr>
            </w:pPr>
            <w:r>
              <w:rPr>
                <w:lang w:val="en-US"/>
              </w:rPr>
            </w:r>
            <w:r/>
          </w:p>
        </w:tc>
      </w:tr>
    </w:tbl>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pPr>
      <w:r>
        <w:rPr/>
        <w:drawing>
          <wp:inline distT="0" distB="0" distL="0" distR="0">
            <wp:extent cx="5396865" cy="3457575"/>
            <wp:effectExtent l="0" t="0" r="0" b="0"/>
            <wp:docPr id="8" name="Picture" descr="http://i.embluejet.com/ImagenesMoxie/2524/images/Invitacion_charla_Canad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i.embluejet.com/ImagenesMoxie/2524/images/Invitacion_charla_Canada-02.jpg"/>
                    <pic:cNvPicPr>
                      <a:picLocks noChangeAspect="1" noChangeArrowheads="1"/>
                    </pic:cNvPicPr>
                  </pic:nvPicPr>
                  <pic:blipFill>
                    <a:blip r:embed="rId22"/>
                    <a:stretch>
                      <a:fillRect/>
                    </a:stretch>
                  </pic:blipFill>
                  <pic:spPr bwMode="auto">
                    <a:xfrm>
                      <a:off x="0" y="0"/>
                      <a:ext cx="5396865" cy="3457575"/>
                    </a:xfrm>
                    <a:prstGeom prst="rect">
                      <a:avLst/>
                    </a:prstGeom>
                    <a:noFill/>
                    <a:ln w="9525">
                      <a:noFill/>
                      <a:miter lim="800000"/>
                      <a:headEnd/>
                      <a:tailEnd/>
                    </a:ln>
                  </pic:spPr>
                </pic:pic>
              </a:graphicData>
            </a:graphic>
          </wp:inline>
        </w:drawing>
      </w:r>
      <w:r/>
    </w:p>
    <w:sectPr>
      <w:headerReference w:type="default" r:id="rId23"/>
      <w:headerReference w:type="first" r:id="rId24"/>
      <w:footerReference w:type="default" r:id="rId25"/>
      <w:footerReference w:type="first" r:id="rId26"/>
      <w:type w:val="nextPage"/>
      <w:pgSz w:w="12240" w:h="15840"/>
      <w:pgMar w:left="1701" w:right="1701"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42">
              <wp:simplePos x="0" y="0"/>
              <wp:positionH relativeFrom="column">
                <wp:posOffset>-236855</wp:posOffset>
              </wp:positionH>
              <wp:positionV relativeFrom="paragraph">
                <wp:posOffset>-43180</wp:posOffset>
              </wp:positionV>
              <wp:extent cx="6209030" cy="15875"/>
              <wp:effectExtent l="0" t="0" r="0" b="0"/>
              <wp:wrapNone/>
              <wp:docPr id="12"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1">
          <wp:simplePos x="0" y="0"/>
          <wp:positionH relativeFrom="column">
            <wp:posOffset>5581650</wp:posOffset>
          </wp:positionH>
          <wp:positionV relativeFrom="paragraph">
            <wp:posOffset>-27305</wp:posOffset>
          </wp:positionV>
          <wp:extent cx="292100" cy="335915"/>
          <wp:effectExtent l="0" t="0" r="0" b="0"/>
          <wp:wrapSquare wrapText="bothSides"/>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21">
          <wp:simplePos x="0" y="0"/>
          <wp:positionH relativeFrom="column">
            <wp:posOffset>-234950</wp:posOffset>
          </wp:positionH>
          <wp:positionV relativeFrom="paragraph">
            <wp:posOffset>-27305</wp:posOffset>
          </wp:positionV>
          <wp:extent cx="384175" cy="384175"/>
          <wp:effectExtent l="0" t="0" r="0" b="0"/>
          <wp:wrapSquare wrapText="bothSides"/>
          <wp:docPr id="10"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31">
              <wp:simplePos x="0" y="0"/>
              <wp:positionH relativeFrom="column">
                <wp:posOffset>-233680</wp:posOffset>
              </wp:positionH>
              <wp:positionV relativeFrom="paragraph">
                <wp:posOffset>193675</wp:posOffset>
              </wp:positionV>
              <wp:extent cx="6209030" cy="15875"/>
              <wp:effectExtent l="0" t="0" r="0" b="0"/>
              <wp:wrapNone/>
              <wp:docPr id="11"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ListLabel1">
    <w:name w:val="ListLabel 1"/>
    <w:rPr>
      <w:sz w:val="2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t.co/6M1sxBpP5b" TargetMode="External"/><Relationship Id="rId4" Type="http://schemas.openxmlformats.org/officeDocument/2006/relationships/image" Target="media/image2.jpeg"/><Relationship Id="rId5" Type="http://schemas.openxmlformats.org/officeDocument/2006/relationships/hyperlink" Target="http://documentalistas.com/cursos/mujereslideres/" TargetMode="External"/><Relationship Id="rId6" Type="http://schemas.openxmlformats.org/officeDocument/2006/relationships/hyperlink" Target="http://documentalistas.com/cursos/tecnopolitica/" TargetMode="External"/><Relationship Id="rId7" Type="http://schemas.openxmlformats.org/officeDocument/2006/relationships/hyperlink" Target="http://documentalistas.com/cursos/ddhh-mujeres/" TargetMode="External"/><Relationship Id="rId8" Type="http://schemas.openxmlformats.org/officeDocument/2006/relationships/hyperlink" Target="https://documentalistas.org/campus/mod/forum/discuss.php?d=147" TargetMode="External"/><Relationship Id="rId9" Type="http://schemas.openxmlformats.org/officeDocument/2006/relationships/hyperlink" Target="http://documentalistas.com/cursos/bigdata-documental/" TargetMode="External"/><Relationship Id="rId10" Type="http://schemas.openxmlformats.org/officeDocument/2006/relationships/image" Target="media/image3.jpeg"/><Relationship Id="rId11" Type="http://schemas.openxmlformats.org/officeDocument/2006/relationships/hyperlink" Target="http://lj.libraryjournal.com/author/jberry/" TargetMode="External"/><Relationship Id="rId12" Type="http://schemas.openxmlformats.org/officeDocument/2006/relationships/image" Target="media/image4.jpeg"/><Relationship Id="rId13" Type="http://schemas.openxmlformats.org/officeDocument/2006/relationships/hyperlink" Target="http://lj.libraryjournal.com/author/menis/" TargetMode="External"/><Relationship Id="rId14" Type="http://schemas.openxmlformats.org/officeDocument/2006/relationships/image" Target="media/image5.png"/><Relationship Id="rId15" Type="http://schemas.openxmlformats.org/officeDocument/2006/relationships/hyperlink" Target="https://tind.io/" TargetMode="External"/><Relationship Id="rId16" Type="http://schemas.openxmlformats.org/officeDocument/2006/relationships/hyperlink" Target="http://info.tind.io/ILS" TargetMode="External"/><Relationship Id="rId17" Type="http://schemas.openxmlformats.org/officeDocument/2006/relationships/hyperlink" Target="http://ageconsearch.tind.io/" TargetMode="External"/><Relationship Id="rId18" Type="http://schemas.openxmlformats.org/officeDocument/2006/relationships/hyperlink" Target="https://github.com/inveniosoftware/invenio" TargetMode="External"/><Relationship Id="rId19" Type="http://schemas.openxmlformats.org/officeDocument/2006/relationships/hyperlink" Target="http://lj.libraryjournal.com/author/rmiller/" TargetMode="External"/><Relationship Id="rId20" Type="http://schemas.openxmlformats.org/officeDocument/2006/relationships/image" Target="media/image6.jpeg"/><Relationship Id="rId21" Type="http://schemas.openxmlformats.org/officeDocument/2006/relationships/hyperlink" Target="https://gehlinstitute.org/news/mayors-guide-public-life/" TargetMode="External"/><Relationship Id="rId22" Type="http://schemas.openxmlformats.org/officeDocument/2006/relationships/image" Target="media/image7.jpeg"/><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LibreOffice/4.3.3.2$Linux_X86_64 LibreOffice_project/430m0$Build-2</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2017-06-15T19:53:00Z</dcterms:created>
  <dc:creator>Horacio Cárdenas Zardoni</dc:creator>
  <dc:language>es-MX</dc:language>
  <cp:lastModifiedBy>Horacio Cárdenas Zardoni</cp:lastModifiedBy>
  <dcterms:modified xsi:type="dcterms:W3CDTF">2017-06-24T17:22:00Z</dcterms:modified>
  <cp:revision>18</cp:revision>
</cp:coreProperties>
</file>