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0.png" ContentType="image/png"/>
  <Override PartName="/word/media/image9.png" ContentType="image/png"/>
  <Override PartName="/word/media/image8.jpeg" ContentType="image/jpeg"/>
  <Override PartName="/word/media/image7.jpeg" ContentType="image/jpeg"/>
  <Override PartName="/word/media/image4.png" ContentType="image/png"/>
  <Override PartName="/word/media/image5.jpeg" ContentType="image/jpeg"/>
  <Override PartName="/word/media/image3.jpeg" ContentType="image/jpeg"/>
  <Override PartName="/word/media/image6.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37">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31"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25                                                                                                                                       mayo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25                                                                                                                                       mayo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15 Libraries Named IMLS National Medal Finalists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Julia Lee Barclay-Morton</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1"/>
          <w:rFonts w:cs="Arial" w:ascii="Calibri Light" w:hAnsi="Calibri Light" w:asciiTheme="majorHAnsi" w:hAnsiTheme="majorHAnsi"/>
          <w:color w:val="333333"/>
          <w:sz w:val="24"/>
          <w:szCs w:val="24"/>
          <w:lang w:val="en-US"/>
        </w:rPr>
        <w:t>April 25,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"http://lj.libraryjournal.com/2017/04/industry-news/15-libraries-named-imls-national-medal-finalists/"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5523230" cy="1972945"/>
            <wp:effectExtent l="0" t="0" r="0" b="0"/>
            <wp:docPr id="3" name="Picture" descr="IMLSFinalis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IMLSFinalistGraphic"/>
                    <pic:cNvPicPr>
                      <a:picLocks noChangeAspect="1" noChangeArrowheads="1"/>
                    </pic:cNvPicPr>
                  </pic:nvPicPr>
                  <pic:blipFill>
                    <a:blip r:embed="rId3"/>
                    <a:stretch>
                      <a:fillRect/>
                    </a:stretch>
                  </pic:blipFill>
                  <pic:spPr bwMode="auto">
                    <a:xfrm>
                      <a:off x="0" y="0"/>
                      <a:ext cx="5523230" cy="197294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The Institute of Museum and Library Services (IMLS) announced its 30 finalists for its National Medal for Museum and Library Service on March 20, including 15 public, academic, and special libraries from Maine to Alaska. The depth and breadth of the work of the nominees demonstrate not only the worth of libraries to our social fabric, but also IMLS’s importance for aiding the vital missions of the libraries across the country: a timely reminder, considering that IMLS is one of multiple federal agencies that the current administration’s</w:t>
      </w:r>
      <w:r>
        <w:rPr>
          <w:rStyle w:val="Appleconvertedspace"/>
          <w:rFonts w:cs="Arial" w:ascii="Calibri Light" w:hAnsi="Calibri Light" w:asciiTheme="majorHAnsi" w:hAnsiTheme="majorHAnsi"/>
          <w:color w:val="333333"/>
          <w:lang w:val="en-US"/>
        </w:rPr>
        <w:t> </w:t>
      </w:r>
      <w:hyperlink r:id="rId4">
        <w:r>
          <w:rPr>
            <w:rStyle w:val="EnlacedeInternet"/>
            <w:rFonts w:cs="Arial" w:ascii="Calibri Light" w:hAnsi="Calibri Light" w:asciiTheme="majorHAnsi" w:hAnsiTheme="majorHAnsi"/>
            <w:color w:val="006699"/>
            <w:lang w:val="en-US"/>
          </w:rPr>
          <w:t>preliminary budget</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proposes to dismantle.</w:t>
      </w:r>
      <w:r/>
    </w:p>
    <w:p>
      <w:pPr>
        <w:pStyle w:val="NormalWeb"/>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15 finalist libraries included: Haines Borough Public Library, AK; Long Beach Public Library, CA; Sacramento Public Library, CA; Cedar Rapids Public Library, IA; Illinois Fire Service Institute Library, Champaign; Evansville Vanderburgh Public Library, IN; Terrebonne Parish Library System, LA; Waterville Public Library, ME; University of Minnesota Libraries; Rochester Public Library, MN; Charlotte Mecklenburg Library, NC; Tulsa City-County Library, OK; James V. Brown Library, Williamsport, PA; Richland Library, SC, and George and Cynthia Woods Mitchell Library, Montgomery County Memorial Library System, TX.</w:t>
      </w:r>
      <w:r/>
    </w:p>
    <w:p>
      <w:pPr>
        <w:pStyle w:val="NormalWeb"/>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As the nation’s primary source of federal support for museums and libraries, IMLS is uniquely positioned to shine a spotlight on the extraordinary ways museums and libraries bring about transformative community change,” said IMLS director Kathryn K. Matthew. “The highly selective National Medal award, now in its 23rd year, is one of the leading ways we promote the work of exceptional institutions to a broader audience that includes Congress, policymakers, the media, and the public. These awards exemplify the types of strategic partnerships, community service, and public engagement museums and libraries foster in their roles as catalysts for vibrant communities.”</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http://lj.libraryjournal.com/2017/04/industry-news/15-libraries-named-imls-national-medal-finalists/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tbl>
      <w:tblPr>
        <w:tblW w:w="8838" w:type="dxa"/>
        <w:jc w:val="left"/>
        <w:tblInd w:w="0" w:type="dxa"/>
        <w:tblBorders/>
        <w:tblCellMar>
          <w:top w:w="0" w:type="dxa"/>
          <w:left w:w="0" w:type="dxa"/>
          <w:bottom w:w="0" w:type="dxa"/>
          <w:right w:w="0" w:type="dxa"/>
        </w:tblCellMar>
      </w:tblPr>
      <w:tblGrid>
        <w:gridCol w:w="8838"/>
      </w:tblGrid>
      <w:tr>
        <w:trPr/>
        <w:tc>
          <w:tcPr>
            <w:tcW w:w="8838" w:type="dxa"/>
            <w:tcBorders/>
            <w:shd w:color="auto" w:fill="FFFFFF" w:val="clear"/>
            <w:vAlign w:val="center"/>
          </w:tcPr>
          <w:tbl>
            <w:tblPr>
              <w:tblW w:w="8838" w:type="dxa"/>
              <w:jc w:val="left"/>
              <w:tblInd w:w="0" w:type="dxa"/>
              <w:tblBorders/>
              <w:tblCellMar>
                <w:top w:w="0" w:type="dxa"/>
                <w:left w:w="0" w:type="dxa"/>
                <w:bottom w:w="0" w:type="dxa"/>
                <w:right w:w="0" w:type="dxa"/>
              </w:tblCellMar>
            </w:tblPr>
            <w:tblGrid>
              <w:gridCol w:w="8838"/>
            </w:tblGrid>
            <w:tr>
              <w:trPr/>
              <w:tc>
                <w:tcPr>
                  <w:tcW w:w="8838" w:type="dxa"/>
                  <w:tcBorders/>
                  <w:shd w:fill="auto" w:val="clear"/>
                  <w:vAlign w:val="center"/>
                </w:tcPr>
                <w:tbl>
                  <w:tblPr>
                    <w:tblW w:w="9600" w:type="dxa"/>
                    <w:jc w:val="left"/>
                    <w:tblInd w:w="0" w:type="dxa"/>
                    <w:tblBorders/>
                    <w:tblCellMar>
                      <w:top w:w="0" w:type="dxa"/>
                      <w:left w:w="0" w:type="dxa"/>
                      <w:bottom w:w="0" w:type="dxa"/>
                      <w:right w:w="0" w:type="dxa"/>
                    </w:tblCellMar>
                  </w:tblPr>
                  <w:tblGrid>
                    <w:gridCol w:w="9600"/>
                  </w:tblGrid>
                  <w:tr>
                    <w:trPr/>
                    <w:tc>
                      <w:tcPr>
                        <w:tcW w:w="9600" w:type="dxa"/>
                        <w:tcBorders/>
                        <w:shd w:fill="auto" w:val="clear"/>
                      </w:tcPr>
                      <w:p>
                        <w:pPr>
                          <w:pStyle w:val="ListParagraph"/>
                          <w:pageBreakBefore/>
                          <w:numPr>
                            <w:ilvl w:val="0"/>
                            <w:numId w:val="1"/>
                          </w:numPr>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ListParagraph"/>
                          <w:rPr>
                            <w:sz w:val="24"/>
                            <w:sz w:val="24"/>
                            <w:szCs w:val="24"/>
                            <w:rFonts w:ascii="Calibri Light" w:hAnsi="Calibri Light" w:asciiTheme="majorHAnsi" w:hAnsiTheme="majorHAnsi"/>
                          </w:rPr>
                        </w:pPr>
                        <w:r>
                          <w:rPr/>
                          <w:drawing>
                            <wp:inline distT="0" distB="0" distL="0" distR="0">
                              <wp:extent cx="6096000" cy="4705350"/>
                              <wp:effectExtent l="0" t="0" r="0" b="0"/>
                              <wp:docPr id="4" name="Picture" descr="Ful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Full Image"/>
                                      <pic:cNvPicPr>
                                        <a:picLocks noChangeAspect="1" noChangeArrowheads="1"/>
                                      </pic:cNvPicPr>
                                    </pic:nvPicPr>
                                    <pic:blipFill>
                                      <a:blip r:embed="rId5"/>
                                      <a:stretch>
                                        <a:fillRect/>
                                      </a:stretch>
                                    </pic:blipFill>
                                    <pic:spPr bwMode="auto">
                                      <a:xfrm>
                                        <a:off x="0" y="0"/>
                                        <a:ext cx="6096000" cy="4705350"/>
                                      </a:xfrm>
                                      <a:prstGeom prst="rect">
                                        <a:avLst/>
                                      </a:prstGeom>
                                      <a:noFill/>
                                      <a:ln w="9525">
                                        <a:noFill/>
                                        <a:miter lim="800000"/>
                                        <a:headEnd/>
                                        <a:tailEnd/>
                                      </a:ln>
                                    </pic:spPr>
                                  </pic:pic>
                                </a:graphicData>
                              </a:graphic>
                            </wp:inline>
                          </w:drawing>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cs="Segoe UI" w:asciiTheme="majorHAnsi" w:hAnsiTheme="majorHAnsi"/>
                <w:color w:val="212121"/>
              </w:rPr>
            </w:pPr>
            <w:r>
              <w:rPr>
                <w:rFonts w:cs="Segoe UI" w:ascii="Calibri Light" w:hAnsi="Calibri Light"/>
                <w:color w:val="212121"/>
                <w:sz w:val="24"/>
                <w:szCs w:val="24"/>
              </w:rPr>
            </w:r>
            <w:r/>
          </w:p>
        </w:tc>
      </w:tr>
      <w:tr>
        <w:trPr/>
        <w:tc>
          <w:tcPr>
            <w:tcW w:w="8838" w:type="dxa"/>
            <w:tcBorders/>
            <w:shd w:color="auto" w:fill="FFFFFF" w:val="clear"/>
            <w:tcMar>
              <w:top w:w="150" w:type="dxa"/>
              <w:left w:w="150" w:type="dxa"/>
              <w:bottom w:w="150" w:type="dxa"/>
              <w:right w:w="150" w:type="dxa"/>
            </w:tcMar>
            <w:vAlign w:val="center"/>
          </w:tcPr>
          <w:tbl>
            <w:tblPr>
              <w:tblW w:w="8538" w:type="dxa"/>
              <w:jc w:val="left"/>
              <w:tblInd w:w="0" w:type="dxa"/>
              <w:tblBorders/>
              <w:tblCellMar>
                <w:top w:w="0" w:type="dxa"/>
                <w:left w:w="0" w:type="dxa"/>
                <w:bottom w:w="0" w:type="dxa"/>
                <w:right w:w="0" w:type="dxa"/>
              </w:tblCellMar>
            </w:tblPr>
            <w:tblGrid>
              <w:gridCol w:w="8538"/>
            </w:tblGrid>
            <w:tr>
              <w:trPr/>
              <w:tc>
                <w:tcPr>
                  <w:tcW w:w="8538" w:type="dxa"/>
                  <w:tcBorders/>
                  <w:shd w:fill="auto" w:val="clear"/>
                  <w:vAlign w:val="center"/>
                </w:tcPr>
                <w:tbl>
                  <w:tblPr>
                    <w:tblW w:w="9300" w:type="dxa"/>
                    <w:jc w:val="left"/>
                    <w:tblInd w:w="0" w:type="dxa"/>
                    <w:tblBorders/>
                    <w:tblCellMar>
                      <w:top w:w="375" w:type="dxa"/>
                      <w:left w:w="0" w:type="dxa"/>
                      <w:bottom w:w="600" w:type="dxa"/>
                      <w:right w:w="0" w:type="dxa"/>
                    </w:tblCellMar>
                  </w:tblPr>
                  <w:tblGrid>
                    <w:gridCol w:w="9300"/>
                  </w:tblGrid>
                  <w:tr>
                    <w:trPr/>
                    <w:tc>
                      <w:tcPr>
                        <w:tcW w:w="9300" w:type="dxa"/>
                        <w:tcBorders/>
                        <w:shd w:fill="auto" w:val="clear"/>
                        <w:vAlign w:val="center"/>
                      </w:tcPr>
                      <w:tbl>
                        <w:tblPr>
                          <w:tblW w:w="5670" w:type="dxa"/>
                          <w:jc w:val="center"/>
                          <w:tblInd w:w="0" w:type="dxa"/>
                          <w:tblBorders/>
                          <w:tblCellMar>
                            <w:top w:w="15" w:type="dxa"/>
                            <w:left w:w="15" w:type="dxa"/>
                            <w:bottom w:w="15" w:type="dxa"/>
                            <w:right w:w="15" w:type="dxa"/>
                          </w:tblCellMar>
                        </w:tblPr>
                        <w:tblGrid>
                          <w:gridCol w:w="5670"/>
                        </w:tblGrid>
                        <w:tr>
                          <w:trPr/>
                          <w:tc>
                            <w:tcPr>
                              <w:tcW w:w="5670" w:type="dxa"/>
                              <w:tcBorders/>
                              <w:shd w:fill="auto" w:val="clear"/>
                              <w:vAlign w:val="center"/>
                            </w:tcPr>
                            <w:p>
                              <w:pPr>
                                <w:pStyle w:val="Normal"/>
                                <w:spacing w:lineRule="atLeast" w:line="150"/>
                                <w:jc w:val="center"/>
                                <w:rPr>
                                  <w:sz w:val="24"/>
                                  <w:sz w:val="24"/>
                                  <w:szCs w:val="24"/>
                                  <w:rFonts w:ascii="Calibri Light" w:hAnsi="Calibri Light" w:asciiTheme="majorHAnsi" w:hAnsiTheme="majorHAnsi"/>
                                </w:rPr>
                              </w:pPr>
                              <w:hyperlink r:id="rId6">
                                <w:r>
                                  <w:rPr>
                                    <w:rStyle w:val="EnlacedeInternet"/>
                                    <w:rFonts w:ascii="Calibri Light" w:hAnsi="Calibri Light" w:asciiTheme="majorHAnsi" w:hAnsiTheme="majorHAnsi"/>
                                    <w:color w:val="0000FF"/>
                                    <w:sz w:val="24"/>
                                    <w:szCs w:val="24"/>
                                    <w:u w:val="single"/>
                                  </w:rPr>
                                  <w:br/>
                                </w:r>
                              </w:hyperlink>
                              <w:r/>
                            </w:p>
                            <w:p>
                              <w:pPr>
                                <w:pStyle w:val="Normal"/>
                                <w:spacing w:lineRule="atLeast" w:line="150"/>
                                <w:jc w:val="center"/>
                                <w:rPr>
                                  <w:sz w:val="24"/>
                                  <w:sz w:val="24"/>
                                  <w:szCs w:val="24"/>
                                  <w:rFonts w:ascii="Calibri Light" w:hAnsi="Calibri Light" w:asciiTheme="majorHAnsi" w:hAnsiTheme="majorHAnsi"/>
                                </w:rPr>
                              </w:pPr>
                              <w:hyperlink r:id="rId7">
                                <w:r>
                                  <w:rPr>
                                    <w:rStyle w:val="EnlacedeInternet"/>
                                  </w:rPr>
                                  <w:drawing>
                                    <wp:inline distT="0" distB="0" distL="0" distR="0">
                                      <wp:extent cx="3543300" cy="571500"/>
                                      <wp:effectExtent l="0" t="0" r="0" b="0"/>
                                      <wp:docPr id="5" name="Picture" descr="Vea el programa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Vea el programa aquí..."/>
                                              <pic:cNvPicPr>
                                                <a:picLocks noChangeAspect="1" noChangeArrowheads="1"/>
                                              </pic:cNvPicPr>
                                            </pic:nvPicPr>
                                            <pic:blipFill>
                                              <a:blip r:embed="rId8"/>
                                              <a:stretch>
                                                <a:fillRect/>
                                              </a:stretch>
                                            </pic:blipFill>
                                            <pic:spPr bwMode="auto">
                                              <a:xfrm>
                                                <a:off x="0" y="0"/>
                                                <a:ext cx="3543300" cy="571500"/>
                                              </a:xfrm>
                                              <a:prstGeom prst="rect">
                                                <a:avLst/>
                                              </a:prstGeom>
                                              <a:noFill/>
                                              <a:ln w="9525">
                                                <a:noFill/>
                                                <a:miter lim="800000"/>
                                                <a:headEnd/>
                                                <a:tailEnd/>
                                              </a:ln>
                                            </pic:spPr>
                                          </pic:pic>
                                        </a:graphicData>
                                      </a:graphic>
                                    </wp:inline>
                                  </w:drawing>
                                </w:r>
                              </w:hyperlink>
                              <w:r/>
                            </w:p>
                            <w:p>
                              <w:pPr>
                                <w:pStyle w:val="Normal"/>
                                <w:jc w:val="center"/>
                                <w:rPr>
                                  <w:sz w:val="24"/>
                                  <w:sz w:val="24"/>
                                  <w:szCs w:val="24"/>
                                  <w:rFonts w:ascii="Calibri Light" w:hAnsi="Calibri Light" w:asciiTheme="majorHAnsi" w:hAnsiTheme="majorHAnsi"/>
                                </w:rPr>
                              </w:pPr>
                              <w:hyperlink r:id="rId9">
                                <w:r>
                                  <w:rPr/>
                                </w:r>
                              </w:hyperlink>
                              <w:r/>
                            </w:p>
                          </w:tc>
                        </w:tr>
                      </w:tbl>
                      <w:p>
                        <w:pPr>
                          <w:pStyle w:val="Normal"/>
                          <w:jc w:val="center"/>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cs="Segoe UI" w:asciiTheme="majorHAnsi" w:hAnsiTheme="majorHAnsi"/>
                <w:color w:val="212121"/>
              </w:rPr>
            </w:pPr>
            <w:r>
              <w:rPr>
                <w:rFonts w:cs="Segoe UI" w:ascii="Calibri Light" w:hAnsi="Calibri Light"/>
                <w:color w:val="212121"/>
                <w:sz w:val="24"/>
                <w:szCs w:val="24"/>
              </w:rPr>
            </w:r>
            <w:r/>
          </w:p>
        </w:tc>
      </w:tr>
    </w:tbl>
    <w:p>
      <w:pPr>
        <w:pStyle w:val="Normal"/>
        <w:rPr>
          <w:sz w:val="24"/>
          <w:sz w:val="24"/>
          <w:szCs w:val="24"/>
          <w:rFonts w:ascii="Calibri Light" w:hAnsi="Calibri Light" w:eastAsia="Times New Roman" w:cs="Times New Roman" w:asciiTheme="majorHAnsi" w:hAnsiTheme="majorHAnsi"/>
          <w:color w:val="333333"/>
          <w:lang w:val="en-US" w:eastAsia="es-MX"/>
        </w:rPr>
      </w:pPr>
      <w:r>
        <w:rPr>
          <w:rFonts w:eastAsia="Times New Roman" w:cs="Times New Roman" w:ascii="Calibri Light" w:hAnsi="Calibri Light"/>
          <w:color w:val="333333"/>
          <w:sz w:val="24"/>
          <w:szCs w:val="24"/>
          <w:lang w:val="en-US" w:eastAsia="es-MX"/>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Subversive Librarians | Sustainability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Rebekkah Smith Aldrich</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1"/>
          <w:rFonts w:cs="Arial" w:ascii="Calibri Light" w:hAnsi="Calibri Light" w:asciiTheme="majorHAnsi" w:hAnsiTheme="majorHAnsi"/>
          <w:color w:val="333333"/>
          <w:sz w:val="24"/>
          <w:szCs w:val="24"/>
          <w:lang w:val="en-US"/>
        </w:rPr>
        <w:t>April 21,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"http://lj.libraryjournal.com/2017/04/lj-in-print/subversive-librarians-sustainability/"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381885" cy="2889250"/>
            <wp:effectExtent l="0" t="0" r="0" b="0"/>
            <wp:docPr id="6" name="Picture" descr="SmithAldrichNEW2017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SmithAldrichNEW2017web"/>
                    <pic:cNvPicPr>
                      <a:picLocks noChangeAspect="1" noChangeArrowheads="1"/>
                    </pic:cNvPicPr>
                  </pic:nvPicPr>
                  <pic:blipFill>
                    <a:blip r:embed="rId10"/>
                    <a:stretch>
                      <a:fillRect/>
                    </a:stretch>
                  </pic:blipFill>
                  <pic:spPr bwMode="auto">
                    <a:xfrm>
                      <a:off x="0" y="0"/>
                      <a:ext cx="2381885" cy="288925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Overnight we went from a president who declared climate change as the single greatest threat to future generations to a president, and Senate, who appointed a climate change denier to head the U.S. Environmental Protection Agency (EPA).</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Scientists are in near-total consensus that climate change is real and caused by humans. A 2013 paper published in the journal Environmental Research Letters analyzed 4,014 papers that expressed a position on the subject and found that 97 percent of scientists agree: humans are causing global warming.</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2014, the United Nations Intergovernmental Panel on Climate Change (UNIPCC) gave me pause in its report “</w:t>
      </w:r>
      <w:hyperlink r:id="rId11">
        <w:r>
          <w:rPr>
            <w:rStyle w:val="EnlacedeInternet"/>
            <w:rFonts w:cs="Arial" w:ascii="Calibri Light" w:hAnsi="Calibri Light" w:asciiTheme="majorHAnsi" w:hAnsiTheme="majorHAnsi"/>
            <w:color w:val="006699"/>
            <w:lang w:val="en-US"/>
          </w:rPr>
          <w:t>Climate Change 2014: Impacts, Adaptation, and Vulnerability</w:t>
        </w:r>
      </w:hyperlink>
      <w:r>
        <w:rPr>
          <w:rFonts w:cs="Arial" w:ascii="Calibri Light" w:hAnsi="Calibri Light" w:asciiTheme="majorHAnsi" w:hAnsiTheme="majorHAnsi"/>
          <w:color w:val="333333"/>
          <w:lang w:val="en-US"/>
        </w:rPr>
        <w:t>” by noting the need to shift from thinking about saving the planet to surviving the planet. The only hope we have of doing that is through global acknowledgment of the dangers of climate change and local cooperation to build resilient communities. Yet if the leadership of one of the world’s superpowers is in actual, active denial about the issue, we’re all pretty screwed.</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http://lj.libraryjournal.com/2017/04/lj-in-print/subversive-librarians-sustainability/</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Normal"/>
        <w:rPr>
          <w:sz w:val="24"/>
          <w:sz w:val="24"/>
          <w:szCs w:val="24"/>
          <w:rFonts w:ascii="Calibri Light" w:hAnsi="Calibri Light" w:asciiTheme="majorHAnsi" w:hAnsiTheme="majorHAnsi"/>
          <w:lang w:eastAsia="es-MX"/>
        </w:rPr>
      </w:pPr>
      <w:r>
        <w:rPr>
          <w:rFonts w:asciiTheme="majorHAnsi" w:hAnsiTheme="majorHAnsi" w:ascii="Calibri Light" w:hAnsi="Calibri Light"/>
          <w:sz w:val="24"/>
          <w:szCs w:val="24"/>
          <w:lang w:eastAsia="es-MX"/>
        </w:rPr>
      </w:r>
      <w:r/>
    </w:p>
    <w:p>
      <w:pPr>
        <w:pStyle w:val="Normal"/>
        <w:jc w:val="center"/>
        <w:rPr>
          <w:sz w:val="24"/>
          <w:b/>
          <w:sz w:val="24"/>
          <w:b/>
          <w:szCs w:val="24"/>
          <w:bCs/>
          <w:rFonts w:ascii="Calibri Light" w:hAnsi="Calibri Light" w:asciiTheme="majorHAnsi" w:hAnsiTheme="majorHAnsi"/>
          <w:color w:val="333333"/>
          <w:lang w:val="en-US"/>
        </w:rPr>
      </w:pPr>
      <w:r>
        <w:rPr>
          <w:rFonts w:ascii="Calibri Light" w:hAnsi="Calibri Light" w:asciiTheme="majorHAnsi" w:hAnsiTheme="majorHAnsi"/>
          <w:b/>
          <w:bCs/>
          <w:color w:val="333333"/>
          <w:sz w:val="24"/>
          <w:szCs w:val="24"/>
          <w:lang w:val="en-US"/>
        </w:rPr>
        <w:t xml:space="preserve">4. </w:t>
      </w:r>
      <w:r/>
    </w:p>
    <w:p>
      <w:pPr>
        <w:pStyle w:val="Normal"/>
        <w:jc w:val="center"/>
        <w:rPr>
          <w:sz w:val="24"/>
          <w:sz w:val="24"/>
          <w:szCs w:val="24"/>
          <w:rFonts w:ascii="Calibri Light" w:hAnsi="Calibri Light" w:eastAsia="Times New Roman" w:cs="Times New Roman" w:asciiTheme="majorHAnsi" w:hAnsiTheme="majorHAnsi"/>
          <w:color w:val="333333"/>
          <w:lang w:val="en-US" w:eastAsia="es-MX"/>
        </w:rPr>
      </w:pPr>
      <w:r>
        <w:rPr/>
        <w:drawing>
          <wp:inline distT="0" distB="0" distL="0" distR="0">
            <wp:extent cx="4721225" cy="6863080"/>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2"/>
                    <a:srcRect l="34508" t="17750" r="40647" b="5374"/>
                    <a:stretch>
                      <a:fillRect/>
                    </a:stretch>
                  </pic:blipFill>
                  <pic:spPr bwMode="auto">
                    <a:xfrm>
                      <a:off x="0" y="0"/>
                      <a:ext cx="4721225" cy="6863080"/>
                    </a:xfrm>
                    <a:prstGeom prst="rect">
                      <a:avLst/>
                    </a:prstGeom>
                    <a:noFill/>
                    <a:ln w="9525">
                      <a:noFill/>
                      <a:miter lim="800000"/>
                      <a:headEnd/>
                      <a:tailEnd/>
                    </a:ln>
                  </pic:spPr>
                </pic:pic>
              </a:graphicData>
            </a:graphic>
          </wp:inline>
        </w:drawing>
      </w:r>
      <w:r>
        <w:br w:type="page"/>
      </w:r>
      <w:r/>
    </w:p>
    <w:p>
      <w:pPr>
        <w:pStyle w:val="Encabezado1"/>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5. C. V. Starr East Asian Library at UC Berkeley Acquires the largest Chinese Film Studies</w:t>
      </w:r>
      <w:r>
        <w:rPr>
          <w:rFonts w:ascii="Calibri Light" w:hAnsi="Calibri Light" w:asciiTheme="majorHAnsi" w:hAnsiTheme="majorHAnsi"/>
          <w:b w:val="false"/>
          <w:bCs w:val="false"/>
          <w:color w:val="333333"/>
          <w:sz w:val="24"/>
          <w:szCs w:val="24"/>
          <w:lang w:val="en-US"/>
        </w:rPr>
        <w:t xml:space="preserve"> Collection in North America</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13">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1"/>
          <w:rFonts w:cs="Arial" w:ascii="Calibri Light" w:hAnsi="Calibri Light" w:asciiTheme="majorHAnsi" w:hAnsiTheme="majorHAnsi"/>
          <w:color w:val="333333"/>
          <w:sz w:val="24"/>
          <w:szCs w:val="24"/>
          <w:lang w:val="en-US"/>
        </w:rPr>
        <w:t>April 21,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w:t>
      </w:r>
      <w:r>
        <w:rPr>
          <w:rStyle w:val="Appleconvertedspace"/>
          <w:rFonts w:cs="Arial" w:ascii="Calibri Light" w:hAnsi="Calibri Light" w:asciiTheme="majorHAnsi" w:hAnsiTheme="majorHAnsi"/>
          <w:color w:val="333333"/>
          <w:lang w:val="en-US"/>
        </w:rPr>
        <w:t> </w:t>
      </w:r>
      <w:hyperlink r:id="rId14">
        <w:r>
          <w:rPr>
            <w:rStyle w:val="EnlacedeInternet"/>
            <w:rFonts w:cs="Arial" w:ascii="Calibri Light" w:hAnsi="Calibri Light" w:asciiTheme="majorHAnsi" w:hAnsiTheme="majorHAnsi"/>
            <w:color w:val="006699"/>
            <w:lang w:val="en-US"/>
          </w:rPr>
          <w:t>UC Berkeley Library:</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hyperlink r:id="rId15">
        <w:r>
          <w:rPr>
            <w:rStyle w:val="EnlacedeInternet"/>
            <w:rFonts w:cs="Arial" w:ascii="Calibri Light" w:hAnsi="Calibri Light" w:asciiTheme="majorHAnsi" w:hAnsiTheme="majorHAnsi"/>
            <w:color w:val="006699"/>
            <w:lang w:val="en-US"/>
          </w:rPr>
          <w:t>The C. V. Starr East Asian Library</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at UC Berkeley today announces its acquisition of the largest and most comprehensive Chinese film studies collection in North America. The over-70,000 periodicals, posters, photographs, and ephemera contained in the Paul Kendel Fonoroff collection document the development of the film and entertainment industry of greater China from its inception in the early decades of the twentieth century to the 1990s.</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This amazing collection makes Berkeley the premier research information center of Chinese film studies in the country,” says Peter Zhou, director of the C. V. Starr East Asian Library.</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library acquired the collection in 2015, and has spent the past year receiving the materials and developing a</w:t>
      </w:r>
      <w:r>
        <w:rPr>
          <w:rStyle w:val="Appleconvertedspace"/>
          <w:rFonts w:cs="Arial" w:ascii="Calibri Light" w:hAnsi="Calibri Light" w:asciiTheme="majorHAnsi" w:hAnsiTheme="majorHAnsi"/>
          <w:color w:val="333333"/>
          <w:lang w:val="en-US"/>
        </w:rPr>
        <w:t> </w:t>
      </w:r>
      <w:hyperlink r:id="rId16">
        <w:r>
          <w:rPr>
            <w:rStyle w:val="EnlacedeInternet"/>
            <w:rFonts w:cs="Arial" w:ascii="Calibri Light" w:hAnsi="Calibri Light" w:asciiTheme="majorHAnsi" w:hAnsiTheme="majorHAnsi"/>
            <w:color w:val="006699"/>
            <w:lang w:val="en-US"/>
          </w:rPr>
          <w:t>comprehensive website</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that scholars at UC Berkeley — and across the world — can access to gain a fresh perspective on the history of Chinese popular culture, media, and social life. The public can also learn more about</w:t>
      </w:r>
      <w:r>
        <w:rPr>
          <w:rStyle w:val="Appleconvertedspace"/>
          <w:rFonts w:cs="Arial" w:ascii="Calibri Light" w:hAnsi="Calibri Light" w:asciiTheme="majorHAnsi" w:hAnsiTheme="majorHAnsi"/>
          <w:color w:val="333333"/>
          <w:lang w:val="en-US"/>
        </w:rPr>
        <w:t> </w:t>
      </w:r>
      <w:hyperlink r:id="rId17">
        <w:r>
          <w:rPr>
            <w:rStyle w:val="EnlacedeInternet"/>
            <w:rFonts w:cs="Arial" w:ascii="Calibri Light" w:hAnsi="Calibri Light" w:asciiTheme="majorHAnsi" w:hAnsiTheme="majorHAnsi"/>
            <w:color w:val="006699"/>
            <w:lang w:val="en-US"/>
          </w:rPr>
          <w:t>Fonoroff’s experience</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as a collector.</w:t>
      </w:r>
      <w:r/>
    </w:p>
    <w:p>
      <w:pPr>
        <w:pStyle w:val="Normal"/>
        <w:rPr>
          <w:sz w:val="24"/>
          <w:b/>
          <w:sz w:val="24"/>
          <w:b/>
          <w:szCs w:val="24"/>
          <w:bCs/>
          <w:rFonts w:ascii="Calibri Light" w:hAnsi="Calibri Light" w:asciiTheme="majorHAnsi" w:hAnsiTheme="majorHAnsi"/>
          <w:color w:val="333333"/>
          <w:lang w:val="en-US"/>
        </w:rPr>
      </w:pPr>
      <w:r>
        <w:rPr>
          <w:rFonts w:ascii="Calibri Light" w:hAnsi="Calibri Light" w:asciiTheme="majorHAnsi" w:hAnsiTheme="majorHAnsi"/>
          <w:b/>
          <w:bCs/>
          <w:color w:val="333333"/>
          <w:sz w:val="24"/>
          <w:szCs w:val="24"/>
          <w:lang w:val="en-US"/>
        </w:rPr>
        <w:t xml:space="preserve"> </w:t>
      </w:r>
      <w:r/>
    </w:p>
    <w:p>
      <w:pPr>
        <w:pStyle w:val="Normal"/>
        <w:rPr>
          <w:sz w:val="24"/>
          <w:sz w:val="24"/>
          <w:szCs w:val="24"/>
          <w:rFonts w:ascii="Calibri Light" w:hAnsi="Calibri Light" w:eastAsia="Times New Roman" w:cs="Times New Roman" w:asciiTheme="majorHAnsi" w:hAnsiTheme="majorHAnsi"/>
          <w:color w:val="333333"/>
          <w:lang w:val="en-US" w:eastAsia="es-MX"/>
        </w:rPr>
      </w:pPr>
      <w:r>
        <w:rPr>
          <w:rFonts w:ascii="Calibri Light" w:hAnsi="Calibri Light" w:asciiTheme="majorHAnsi" w:hAnsiTheme="majorHAnsi"/>
          <w:b/>
          <w:bCs/>
          <w:color w:val="333333"/>
          <w:sz w:val="24"/>
          <w:szCs w:val="24"/>
          <w:lang w:val="en-US"/>
        </w:rPr>
        <w:t xml:space="preserve">http://www.infodocket.com/2017/04/21/c-v-starr-east-asian-library-at-uc-berkeley-acquires-the-largest-chinese-film-studies-collection-in-north-america/ </w:t>
      </w:r>
      <w:r>
        <w:br w:type="page"/>
      </w:r>
      <w:r/>
    </w:p>
    <w:p>
      <w:pPr>
        <w:pStyle w:val="Encabezado1"/>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6. Community-Driven Archives Project at Wilson Special Collections Library (UNC-CH)</w:t>
      </w:r>
      <w:r>
        <w:rPr>
          <w:rFonts w:ascii="Calibri Light" w:hAnsi="Calibri Light" w:asciiTheme="majorHAnsi" w:hAnsiTheme="majorHAnsi"/>
          <w:b w:val="false"/>
          <w:bCs w:val="false"/>
          <w:color w:val="333333"/>
          <w:sz w:val="24"/>
          <w:szCs w:val="24"/>
          <w:lang w:val="en-US"/>
        </w:rPr>
        <w:t xml:space="preserve"> Receives $877,000 Mellon Grant</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18">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1"/>
          <w:rFonts w:cs="Arial" w:ascii="Calibri Light" w:hAnsi="Calibri Light" w:asciiTheme="majorHAnsi" w:hAnsiTheme="majorHAnsi"/>
          <w:color w:val="333333"/>
          <w:sz w:val="24"/>
          <w:szCs w:val="24"/>
          <w:lang w:val="en-US"/>
        </w:rPr>
        <w:t>April 25,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 the</w:t>
      </w:r>
      <w:r>
        <w:rPr>
          <w:rStyle w:val="Appleconvertedspace"/>
          <w:rFonts w:cs="Arial" w:ascii="Calibri Light" w:hAnsi="Calibri Light" w:asciiTheme="majorHAnsi" w:hAnsiTheme="majorHAnsi"/>
          <w:color w:val="333333"/>
          <w:lang w:val="en-US"/>
        </w:rPr>
        <w:t> </w:t>
      </w:r>
      <w:hyperlink r:id="rId19">
        <w:r>
          <w:rPr>
            <w:rStyle w:val="EnlacedeInternet"/>
            <w:rFonts w:cs="Arial" w:ascii="Calibri Light" w:hAnsi="Calibri Light" w:asciiTheme="majorHAnsi" w:hAnsiTheme="majorHAnsi"/>
            <w:color w:val="006699"/>
            <w:lang w:val="en-US"/>
          </w:rPr>
          <w:t>University of North Carolina at Chapel Hill:</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University of North Carolina at Chapel Hill has received an $877,000 grant from the Andrew W. Mellon Foundation, which will allow the</w:t>
      </w:r>
      <w:r>
        <w:rPr>
          <w:rStyle w:val="Appleconvertedspace"/>
          <w:rFonts w:cs="Arial" w:ascii="Calibri Light" w:hAnsi="Calibri Light" w:asciiTheme="majorHAnsi" w:hAnsiTheme="majorHAnsi"/>
          <w:color w:val="333333"/>
          <w:lang w:val="en-US"/>
        </w:rPr>
        <w:t> </w:t>
      </w:r>
      <w:hyperlink r:id="rId20">
        <w:r>
          <w:rPr>
            <w:rStyle w:val="EnlacedeInternet"/>
            <w:rFonts w:cs="Arial" w:ascii="Calibri Light" w:hAnsi="Calibri Light" w:asciiTheme="majorHAnsi" w:hAnsiTheme="majorHAnsi"/>
            <w:color w:val="006699"/>
            <w:lang w:val="en-US"/>
          </w:rPr>
          <w:t>Southern Historical Collection</w:t>
        </w:r>
        <w:r>
          <w:rPr>
            <w:rStyle w:val="Appleconvertedspace"/>
            <w:rFonts w:cs="Arial" w:ascii="Calibri Light" w:hAnsi="Calibri Light" w:asciiTheme="majorHAnsi" w:hAnsiTheme="majorHAnsi"/>
            <w:color w:val="006699"/>
            <w:u w:val="single"/>
            <w:lang w:val="en-US"/>
          </w:rPr>
          <w:t> </w:t>
        </w:r>
      </w:hyperlink>
      <w:r>
        <w:rPr>
          <w:rFonts w:cs="Arial" w:ascii="Calibri Light" w:hAnsi="Calibri Light" w:asciiTheme="majorHAnsi" w:hAnsiTheme="majorHAnsi"/>
          <w:color w:val="333333"/>
          <w:lang w:val="en-US"/>
        </w:rPr>
        <w:t>(SHC) at the</w:t>
      </w:r>
      <w:r>
        <w:rPr>
          <w:rStyle w:val="Appleconvertedspace"/>
          <w:rFonts w:cs="Arial" w:ascii="Calibri Light" w:hAnsi="Calibri Light" w:asciiTheme="majorHAnsi" w:hAnsiTheme="majorHAnsi"/>
          <w:color w:val="333333"/>
          <w:lang w:val="en-US"/>
        </w:rPr>
        <w:t> </w:t>
      </w:r>
      <w:hyperlink r:id="rId21">
        <w:r>
          <w:rPr>
            <w:rStyle w:val="EnlacedeInternet"/>
            <w:rFonts w:cs="Arial" w:ascii="Calibri Light" w:hAnsi="Calibri Light" w:asciiTheme="majorHAnsi" w:hAnsiTheme="majorHAnsi"/>
            <w:color w:val="006699"/>
            <w:lang w:val="en-US"/>
          </w:rPr>
          <w:t>Wilson Special Collections Library</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to further develop its transformative model for</w:t>
      </w:r>
      <w:r>
        <w:rPr>
          <w:rStyle w:val="Appleconvertedspace"/>
          <w:rFonts w:cs="Arial" w:ascii="Calibri Light" w:hAnsi="Calibri Light" w:asciiTheme="majorHAnsi" w:hAnsiTheme="majorHAnsi"/>
          <w:color w:val="333333"/>
          <w:lang w:val="en-US"/>
        </w:rPr>
        <w:t> </w:t>
      </w:r>
      <w:hyperlink r:id="rId22">
        <w:r>
          <w:rPr>
            <w:rStyle w:val="EnlacedeInternet"/>
            <w:rFonts w:cs="Arial" w:ascii="Calibri Light" w:hAnsi="Calibri Light" w:asciiTheme="majorHAnsi" w:hAnsiTheme="majorHAnsi"/>
            <w:color w:val="006699"/>
            <w:lang w:val="en-US"/>
          </w:rPr>
          <w:t>“community-driven archives.”</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In addition to several community archiving projects, the SHC will also develop and share training and educational materials in this emerging area of practice.</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Activities for the three-year grant, “Building a Model for All Users: Transforming Archive Collections through Community-Driven Archives,” will begin immediately.</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Community-driven archives are created through partnerships between a community that wishes to document and preserve its own history and an archival repository. In many cases, these are stories of marginalized communities that past generations of historians and archivists did not consider significant enough to record or preserve.</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These projects let us reach communities where people tell us, ‘I didn’t think anyone cared about our history,’” said SHC Director Bryan Giemza.</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http://www.infodocket.com/2017/04/25/community-driven-archives-project-at-wilson-special-collections-library-unc-ch-receives-877000-mellon-grant/</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7. LIS Education: Association for Library and Information Science Education (ALISE) Releases Strategic Plan 2017-2020</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23">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1"/>
          <w:rFonts w:cs="Arial" w:ascii="Calibri Light" w:hAnsi="Calibri Light" w:asciiTheme="majorHAnsi" w:hAnsiTheme="majorHAnsi"/>
          <w:color w:val="333333"/>
          <w:sz w:val="24"/>
          <w:szCs w:val="24"/>
          <w:lang w:val="en-US"/>
        </w:rPr>
        <w:t>April 24,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 an</w:t>
      </w:r>
      <w:r>
        <w:rPr>
          <w:rStyle w:val="Appleconvertedspace"/>
          <w:rFonts w:cs="Arial" w:ascii="Calibri Light" w:hAnsi="Calibri Light" w:asciiTheme="majorHAnsi" w:hAnsiTheme="majorHAnsi"/>
          <w:color w:val="333333"/>
          <w:lang w:val="en-US"/>
        </w:rPr>
        <w:t> </w:t>
      </w:r>
      <w:hyperlink r:id="rId24">
        <w:r>
          <w:rPr>
            <w:rStyle w:val="EnlacedeInternet"/>
            <w:rFonts w:cs="Arial" w:ascii="Calibri Light" w:hAnsi="Calibri Light" w:asciiTheme="majorHAnsi" w:hAnsiTheme="majorHAnsi"/>
            <w:color w:val="006699"/>
            <w:lang w:val="en-US"/>
          </w:rPr>
          <w:t>ALISE Blog Post:</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482725" cy="822325"/>
            <wp:effectExtent l="0" t="0" r="0" b="0"/>
            <wp:docPr id="8" name="Picture" descr="2017-04-24_17-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2017-04-24_17-44-18"/>
                    <pic:cNvPicPr>
                      <a:picLocks noChangeAspect="1" noChangeArrowheads="1"/>
                    </pic:cNvPicPr>
                  </pic:nvPicPr>
                  <pic:blipFill>
                    <a:blip r:embed="rId25"/>
                    <a:stretch>
                      <a:fillRect/>
                    </a:stretch>
                  </pic:blipFill>
                  <pic:spPr bwMode="auto">
                    <a:xfrm>
                      <a:off x="0" y="0"/>
                      <a:ext cx="1482725" cy="82232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To remain relevant and a vital part of library and information science education, the</w:t>
      </w:r>
      <w:r>
        <w:rPr>
          <w:rStyle w:val="Appleconvertedspace"/>
          <w:rFonts w:cs="Arial" w:ascii="Calibri Light" w:hAnsi="Calibri Light" w:asciiTheme="majorHAnsi" w:hAnsiTheme="majorHAnsi"/>
          <w:color w:val="333333"/>
          <w:lang w:val="en-US"/>
        </w:rPr>
        <w:t> </w:t>
      </w:r>
      <w:hyperlink r:id="rId26">
        <w:r>
          <w:rPr>
            <w:rStyle w:val="EnlacedeInternet"/>
            <w:rFonts w:cs="Arial" w:ascii="Calibri Light" w:hAnsi="Calibri Light" w:asciiTheme="majorHAnsi" w:hAnsiTheme="majorHAnsi"/>
            <w:color w:val="006699"/>
            <w:lang w:val="en-US"/>
          </w:rPr>
          <w:t>2017-20 ALISE Strategic Plan</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has been crafted to address four strategic directions to meet the needs of existing and future members by expanding ALISE’s leading role in excellence in library and information science education scholarship and practice, while adhering to sound fiscal and management practices.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Read the</w:t>
      </w:r>
      <w:r>
        <w:rPr>
          <w:rStyle w:val="Appleconvertedspace"/>
          <w:rFonts w:cs="Arial" w:ascii="Calibri Light" w:hAnsi="Calibri Light" w:asciiTheme="majorHAnsi" w:hAnsiTheme="majorHAnsi"/>
          <w:color w:val="333333"/>
          <w:lang w:val="en-US"/>
        </w:rPr>
        <w:t> </w:t>
      </w:r>
      <w:hyperlink r:id="rId27">
        <w:r>
          <w:rPr>
            <w:rStyle w:val="EnlacedeInternet"/>
            <w:rFonts w:cs="Arial" w:ascii="Calibri Light" w:hAnsi="Calibri Light" w:asciiTheme="majorHAnsi" w:hAnsiTheme="majorHAnsi"/>
            <w:color w:val="006699"/>
            <w:lang w:val="en-US"/>
          </w:rPr>
          <w:t>Complete Blog Post</w:t>
        </w:r>
      </w:hyperlink>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Direct to</w:t>
      </w:r>
      <w:r>
        <w:rPr>
          <w:rStyle w:val="Appleconvertedspace"/>
          <w:rFonts w:cs="Arial" w:ascii="Calibri Light" w:hAnsi="Calibri Light" w:asciiTheme="majorHAnsi" w:hAnsiTheme="majorHAnsi"/>
          <w:color w:val="333333"/>
          <w:lang w:val="en-US"/>
        </w:rPr>
        <w:t> </w:t>
      </w:r>
      <w:hyperlink r:id="rId28">
        <w:r>
          <w:rPr>
            <w:rStyle w:val="EnlacedeInternet"/>
            <w:rFonts w:cs="Arial" w:ascii="Calibri Light" w:hAnsi="Calibri Light" w:asciiTheme="majorHAnsi" w:hAnsiTheme="majorHAnsi"/>
            <w:color w:val="006699"/>
            <w:lang w:val="en-US"/>
          </w:rPr>
          <w:t>Full of ALISE Strategic Plan 2017-2020</w:t>
        </w:r>
      </w:hyperlink>
      <w:r/>
    </w:p>
    <w:p>
      <w:pPr>
        <w:pStyle w:val="Normal"/>
        <w:shd w:val="clear" w:color="auto" w:themeColor="" w:themeTint="" w:themeShade="" w:fill="F4F4F4" w:themeFill="" w:themeFillTint="" w:themeFillShade=""/>
        <w:rPr>
          <w:sz w:val="24"/>
          <w:sz w:val="24"/>
          <w:szCs w:val="24"/>
          <w:rFonts w:ascii="Calibri Light" w:hAnsi="Calibri Light" w:cs="Arial" w:asciiTheme="majorHAnsi" w:hAnsiTheme="majorHAnsi"/>
          <w:color w:val="333333"/>
          <w:lang w:val="en-US"/>
        </w:rPr>
      </w:pPr>
      <w:r>
        <w:rPr/>
        <w:drawing>
          <wp:inline distT="0" distB="0" distL="0" distR="0">
            <wp:extent cx="668655" cy="668655"/>
            <wp:effectExtent l="0" t="0" r="0" b="0"/>
            <wp:docPr id="9" name="Picture"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Gary Price"/>
                    <pic:cNvPicPr>
                      <a:picLocks noChangeAspect="1" noChangeArrowheads="1"/>
                    </pic:cNvPicPr>
                  </pic:nvPicPr>
                  <pic:blipFill>
                    <a:blip r:embed="rId29"/>
                    <a:stretch>
                      <a:fillRect/>
                    </a:stretch>
                  </pic:blipFill>
                  <pic:spPr bwMode="auto">
                    <a:xfrm>
                      <a:off x="0" y="0"/>
                      <a:ext cx="668655" cy="668655"/>
                    </a:xfrm>
                    <a:prstGeom prst="rect">
                      <a:avLst/>
                    </a:prstGeom>
                    <a:noFill/>
                    <a:ln w="9525">
                      <a:noFill/>
                      <a:miter lim="800000"/>
                      <a:headEnd/>
                      <a:tailEnd/>
                    </a:ln>
                  </pic:spPr>
                </pic:pic>
              </a:graphicData>
            </a:graphic>
          </wp:inline>
        </w:drawing>
      </w:r>
      <w:r>
        <w:rPr>
          <w:rStyle w:val="Strong"/>
          <w:rFonts w:cs="Arial" w:ascii="Calibri Light" w:hAnsi="Calibri Light" w:asciiTheme="majorHAnsi" w:hAnsiTheme="majorHAnsi"/>
          <w:color w:val="333333"/>
          <w:sz w:val="24"/>
          <w:szCs w:val="24"/>
          <w:lang w:val="en-US"/>
        </w:rPr>
        <w:t>About Gary Price</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Gary Price (</w:t>
      </w:r>
      <w:hyperlink r:id="rId30">
        <w:r>
          <w:rPr>
            <w:rStyle w:val="EnlacedeInternet"/>
            <w:rFonts w:cs="Arial" w:ascii="Calibri Light" w:hAnsi="Calibri Light" w:asciiTheme="majorHAnsi" w:hAnsiTheme="majorHAnsi"/>
            <w:color w:val="006699"/>
            <w:lang w:val="en-US"/>
          </w:rPr>
          <w:t>gprice@mediasourceinc.com</w:t>
        </w:r>
      </w:hyperlink>
      <w:r>
        <w:rPr>
          <w:rFonts w:cs="Arial" w:ascii="Calibri Light" w:hAnsi="Calibri Light" w:asciiTheme="majorHAnsi" w:hAnsiTheme="majorHAnsi"/>
          <w:color w:val="333333"/>
          <w:lang w:val="en-US"/>
        </w:rPr>
        <w:t>) is a librarian, writer, consultant, and frequent conference speaker based in the Washington D.C. metro area. Before launching INFOdocket, Price and Shirl Kennedy were the founders and senior editors at ResourceShelf and DocuTicker for 10 years. From 2006-2009 he was Director of Online Information Services at Ask.com, and is currently a contributing editor at Search Engine Land.</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pPr>
      <w:r>
        <w:rPr>
          <w:rFonts w:ascii="Calibri Light" w:hAnsi="Calibri Light" w:asciiTheme="majorHAnsi" w:hAnsiTheme="majorHAnsi"/>
          <w:b/>
          <w:sz w:val="24"/>
          <w:szCs w:val="24"/>
          <w:lang w:val="en-US"/>
        </w:rPr>
        <w:t>http://www.infodocket.com/2017/04/24/lis-education-association-for-library-and-information-science-education-alise-releases-strategic-plan-2017-2020/</w:t>
      </w:r>
      <w:r/>
    </w:p>
    <w:sectPr>
      <w:headerReference w:type="default" r:id="rId31"/>
      <w:headerReference w:type="first" r:id="rId32"/>
      <w:footerReference w:type="default" r:id="rId33"/>
      <w:footerReference w:type="first" r:id="rId34"/>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30">
              <wp:simplePos x="0" y="0"/>
              <wp:positionH relativeFrom="column">
                <wp:posOffset>-236855</wp:posOffset>
              </wp:positionH>
              <wp:positionV relativeFrom="paragraph">
                <wp:posOffset>-43180</wp:posOffset>
              </wp:positionV>
              <wp:extent cx="6209030" cy="15875"/>
              <wp:effectExtent l="0" t="0" r="0" b="0"/>
              <wp:wrapNone/>
              <wp:docPr id="13"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8">
          <wp:simplePos x="0" y="0"/>
          <wp:positionH relativeFrom="column">
            <wp:posOffset>5581650</wp:posOffset>
          </wp:positionH>
          <wp:positionV relativeFrom="paragraph">
            <wp:posOffset>-27305</wp:posOffset>
          </wp:positionV>
          <wp:extent cx="292100" cy="335915"/>
          <wp:effectExtent l="0" t="0" r="0" b="0"/>
          <wp:wrapSquare wrapText="bothSides"/>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15">
          <wp:simplePos x="0" y="0"/>
          <wp:positionH relativeFrom="column">
            <wp:posOffset>-234950</wp:posOffset>
          </wp:positionH>
          <wp:positionV relativeFrom="paragraph">
            <wp:posOffset>-27305</wp:posOffset>
          </wp:positionV>
          <wp:extent cx="384175" cy="384175"/>
          <wp:effectExtent l="0" t="0" r="0" b="0"/>
          <wp:wrapSquare wrapText="bothSides"/>
          <wp:docPr id="11"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22">
              <wp:simplePos x="0" y="0"/>
              <wp:positionH relativeFrom="column">
                <wp:posOffset>-233680</wp:posOffset>
              </wp:positionH>
              <wp:positionV relativeFrom="paragraph">
                <wp:posOffset>193675</wp:posOffset>
              </wp:positionV>
              <wp:extent cx="6209030" cy="15875"/>
              <wp:effectExtent l="0" t="0" r="0" b="0"/>
              <wp:wrapNone/>
              <wp:docPr id="12"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ListLabel1">
    <w:name w:val="ListLabel 1"/>
    <w:rPr>
      <w:sz w:val="20"/>
    </w:rPr>
  </w:style>
  <w:style w:type="character" w:styleId="ListLabel2">
    <w:name w:val="ListLabel 2"/>
    <w:rPr>
      <w:color w:val="FFFFFF"/>
    </w:rPr>
  </w:style>
  <w:style w:type="character" w:styleId="ListLabel3">
    <w:name w:val="ListLabel 3"/>
    <w:rPr>
      <w:b w:val="false"/>
      <w:color w:val="00000A"/>
    </w:rPr>
  </w:style>
  <w:style w:type="character" w:styleId="ListLabel4">
    <w:name w:val="ListLabel 4"/>
    <w:rPr>
      <w:b/>
      <w:color w:val="333333"/>
    </w:rPr>
  </w:style>
  <w:style w:type="character" w:styleId="ListLabel5">
    <w:name w:val="ListLabel 5"/>
    <w:rPr>
      <w:b/>
    </w:rPr>
  </w:style>
  <w:style w:type="character" w:styleId="ListLabel6">
    <w:name w:val="ListLabel 6"/>
    <w:rPr>
      <w:rFonts w:cs="Arial"/>
      <w:color w:val="00000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lj.libraryjournal.com/2017/03/industry-news/preliminary-budget-slashes-library-arts-culture-education-agencies/" TargetMode="External"/><Relationship Id="rId5" Type="http://schemas.openxmlformats.org/officeDocument/2006/relationships/image" Target="media/image3.jpeg"/><Relationship Id="rId6" Type="http://schemas.openxmlformats.org/officeDocument/2006/relationships/hyperlink" Target="http://email.campayn.com/wf/click?upn=6835FCWLaJvt57erwq1y4GtiH0BZwUEqGftzjt6ACeIFyE2deBTJavQYHhpUb6f8-2BjzspOxGBOchQEpfEiHp4w-3D-3D_-2FGN8g46ZB2lNgA7FComj1msWZVyMrBOzYrwlmpmkC5Frc2zcKWpdEJt1TWSVJ0-2Bnfbq8UFcPqQOxToFAOQ5Y4VejGp7P8-2BPTz-2F-2BByF3eiTedKBsRr7z2MrWvxKRSEIHtvrxZ0Y92zdRZjF-2BAsmoZ6twHwKeYk7oE81b9GiS4hqqruWf7SaUOVOehfLJ1bq-2BBdOp-2BFab8bSIrTR-2BxaansONPO94GN9uKhcShHk7wwphJ8BeKUbvNeBH2qTfA-2BcB7P4CotmKXpIuwaRHyEd3irOI1EkAOVL-2Bl8JR5jMyJOyVVaydPdc5NpObJuh-2F-2BNVTJNVB8ApQ-2BjoSIS1QPIqaQ6eMDs1SqhfnOwOc5BLeP6GrAqPBJgFd1CdnnmyURVyItL" TargetMode="External"/><Relationship Id="rId7" Type="http://schemas.openxmlformats.org/officeDocument/2006/relationships/hyperlink" Target="http://email.campayn.com/wf/click?upn=6835FCWLaJvt57erwq1y4GtiH0BZwUEqGftzjt6ACeIFyE2deBTJavQYHhpUb6f8-2BjzspOxGBOchQEpfEiHp4w-3D-3D_-2FGN8g46ZB2lNgA7FComj1msWZVyMrBOzYrwlmpmkC5Frc2zcKWpdEJt1TWSVJ0-2Bnfbq8UFcPqQOxToFAOQ5Y4VejGp7P8-2BPTz-2F-2BByF3eiTedKBsRr7z2MrWvxKRSEIHtvrxZ0Y92zdRZjF-2BAsmoZ6twHwKeYk7oE81b9GiS4hqqruWf7SaUOVOehfLJ1bq-2BBdOp-2BFab8bSIrTR-2BxaansONPO94GN9uKhcShHk7wwphJ8BeKUbvNeBH2qTfA-2BcB7P4CotmKXpIuwaRHyEd3irOI1EkAOVL-2Bl8JR5jMyJOyVVaydPdc5NpObJuh-2F-2BNVTJNVB8ApQ-2BjoSIS1QPIqaQ6eMDs1SqhfnOwOc5BLeP6GrAqPBJgFd1CdnnmyURVyItL" TargetMode="External"/><Relationship Id="rId8" Type="http://schemas.openxmlformats.org/officeDocument/2006/relationships/image" Target="media/image4.png"/><Relationship Id="rId9" Type="http://schemas.openxmlformats.org/officeDocument/2006/relationships/hyperlink" Target="http://email.campayn.com/wf/click?upn=6835FCWLaJvt57erwq1y4GtiH0BZwUEqGftzjt6ACeIFyE2deBTJavQYHhpUb6f8-2BjzspOxGBOchQEpfEiHp4w-3D-3D_-2FGN8g46ZB2lNgA7FComj1msWZVyMrBOzYrwlmpmkC5Frc2zcKWpdEJt1TWSVJ0-2Bnfbq8UFcPqQOxToFAOQ5Y4VejGp7P8-2BPTz-2F-2BByF3eiTedKBsRr7z2MrWvxKRSEIHtvrxZ0Y92zdRZjF-2BAsmoZ6twHwKeYk7oE81b9GiS4hqqruWf7SaUOVOehfLJ1bq-2BBdOp-2BFab8bSIrTR-2BxaansONPO94GN9uKhcShHk7wwphJ8BeKUbvNeBH2qTfA-2BcB7P4CotmKXpIuwaRHyEd3irOI1EkAOVL-2Bl8JR5jMyJOyVVaydPdc5NpObJuh-2F-2BNVTJNVB8ApQ-2BjoSIS1QPIqaQ6eMDs1SqhfnOwOc5BLeP6GrAqPBJgFd1CdnnmyURVyItL" TargetMode="External"/><Relationship Id="rId10" Type="http://schemas.openxmlformats.org/officeDocument/2006/relationships/image" Target="media/image5.jpeg"/><Relationship Id="rId11" Type="http://schemas.openxmlformats.org/officeDocument/2006/relationships/hyperlink" Target="https://www.ipcc.ch/pdf/assessment-report/ar5/wg2/WGIIAR5-FrontMatterA_FINAL.pdf" TargetMode="External"/><Relationship Id="rId12" Type="http://schemas.openxmlformats.org/officeDocument/2006/relationships/image" Target="media/image6.png"/><Relationship Id="rId13" Type="http://schemas.openxmlformats.org/officeDocument/2006/relationships/hyperlink" Target="http://www.infodocket.com/author/gprice/" TargetMode="External"/><Relationship Id="rId14" Type="http://schemas.openxmlformats.org/officeDocument/2006/relationships/hyperlink" Target="http://news.lib.berkeley.edu/2017/04/21/c-v-starr-east-asian-library-acquires-the-largest-chinese-film-studies-collection-in-north-america/" TargetMode="External"/><Relationship Id="rId15" Type="http://schemas.openxmlformats.org/officeDocument/2006/relationships/hyperlink" Target="http://www.lib.berkeley.edu/libraries/east-asian-library" TargetMode="External"/><Relationship Id="rId16" Type="http://schemas.openxmlformats.org/officeDocument/2006/relationships/hyperlink" Target="http://exhibits.lib.berkeley.edu/fonoroff-collection" TargetMode="External"/><Relationship Id="rId17" Type="http://schemas.openxmlformats.org/officeDocument/2006/relationships/hyperlink" Target="http://stories.lib.berkeley.edu/fonoroff" TargetMode="External"/><Relationship Id="rId18" Type="http://schemas.openxmlformats.org/officeDocument/2006/relationships/hyperlink" Target="http://www.infodocket.com/author/gprice/" TargetMode="External"/><Relationship Id="rId19" Type="http://schemas.openxmlformats.org/officeDocument/2006/relationships/hyperlink" Target="http://uncnews.unc.edu/2017/04/25/southern-historical-collection-receives-877000-andrew-w-mellon-foundation/" TargetMode="External"/><Relationship Id="rId20" Type="http://schemas.openxmlformats.org/officeDocument/2006/relationships/hyperlink" Target="http://library.unc.edu/wilson/shc/" TargetMode="External"/><Relationship Id="rId21" Type="http://schemas.openxmlformats.org/officeDocument/2006/relationships/hyperlink" Target="http://library.unc.edu/wilson/" TargetMode="External"/><Relationship Id="rId22" Type="http://schemas.openxmlformats.org/officeDocument/2006/relationships/hyperlink" Target="http://library.unc.edu/wilson/shc/community-driven-archives/" TargetMode="External"/><Relationship Id="rId23" Type="http://schemas.openxmlformats.org/officeDocument/2006/relationships/hyperlink" Target="http://www.infodocket.com/author/gprice/" TargetMode="External"/><Relationship Id="rId24" Type="http://schemas.openxmlformats.org/officeDocument/2006/relationships/hyperlink" Target="https://ali.memberclicks.net/alise-strategic-plan-2017-2020" TargetMode="External"/><Relationship Id="rId25" Type="http://schemas.openxmlformats.org/officeDocument/2006/relationships/image" Target="media/image7.jpeg"/><Relationship Id="rId26" Type="http://schemas.openxmlformats.org/officeDocument/2006/relationships/hyperlink" Target="https://ali.memberclicks.net/alise-strategic-plan-2017-2020" TargetMode="External"/><Relationship Id="rId27" Type="http://schemas.openxmlformats.org/officeDocument/2006/relationships/hyperlink" Target="https://ali.memberclicks.net/alise-strategic-plan-2017-2020" TargetMode="External"/><Relationship Id="rId28" Type="http://schemas.openxmlformats.org/officeDocument/2006/relationships/hyperlink" Target="https://ali.memberclicks.net/alise-strategic-plan-2017-2020" TargetMode="External"/><Relationship Id="rId29" Type="http://schemas.openxmlformats.org/officeDocument/2006/relationships/image" Target="media/image8.jpeg"/><Relationship Id="rId30" Type="http://schemas.openxmlformats.org/officeDocument/2006/relationships/hyperlink" Target="mailto:gprice@mediasourceinc.com" TargetMode="External"/><Relationship Id="rId31" Type="http://schemas.openxmlformats.org/officeDocument/2006/relationships/header" Target="header1.xml"/><Relationship Id="rId32" Type="http://schemas.openxmlformats.org/officeDocument/2006/relationships/header" Target="header2.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LibreOffice/4.3.3.2$Linux_X86_64 LibreOffice_project/430m0$Build-2</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2017-05-04T20:02:00Z</dcterms:created>
  <dc:creator>Horacio Cárdenas Zardoni</dc:creator>
  <dc:language>es-MX</dc:language>
  <cp:lastModifiedBy>Horacio Cárdenas Zardoni</cp:lastModifiedBy>
  <dcterms:modified xsi:type="dcterms:W3CDTF">2017-05-12T17:27:00Z</dcterms:modified>
  <cp:revision>10</cp:revision>
</cp:coreProperties>
</file>